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147FE" w14:textId="77777777" w:rsidR="00BE466E" w:rsidRPr="00BF4EF7" w:rsidRDefault="00BF4EF7" w:rsidP="00A964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F4EF7">
        <w:rPr>
          <w:rFonts w:ascii="Arial" w:hAnsi="Arial" w:cs="Arial"/>
          <w:b/>
          <w:color w:val="010000"/>
          <w:sz w:val="20"/>
        </w:rPr>
        <w:t>SBB: Explanation of the decrease in profit after tax in the Financial Statements 2023 of the Holding Company and the Consolidated Financial Statements 2023</w:t>
      </w:r>
    </w:p>
    <w:p w14:paraId="3783BDE1" w14:textId="77777777" w:rsidR="00BE466E" w:rsidRPr="00BF4EF7" w:rsidRDefault="00BF4EF7" w:rsidP="00A964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On April 24, 2024, </w:t>
      </w:r>
      <w:proofErr w:type="spellStart"/>
      <w:proofErr w:type="gramStart"/>
      <w:r w:rsidRPr="00BF4EF7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Pr="00BF4EF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BF4EF7">
        <w:rPr>
          <w:rFonts w:ascii="Arial" w:hAnsi="Arial" w:cs="Arial"/>
          <w:color w:val="010000"/>
          <w:sz w:val="20"/>
        </w:rPr>
        <w:t>Tay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Group Joint Stock Company announced Official Dispatch No. 21/2024/CV-SGBT on explaining the reasons for the decrease in profit after tax after audit as follows:</w:t>
      </w:r>
    </w:p>
    <w:p w14:paraId="40C58EDA" w14:textId="77777777" w:rsidR="00BE466E" w:rsidRPr="00BF4EF7" w:rsidRDefault="00BF4EF7" w:rsidP="00A9642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Business results in 2023 in the </w:t>
      </w:r>
      <w:proofErr w:type="spellStart"/>
      <w:r w:rsidRPr="00BF4EF7">
        <w:rPr>
          <w:rFonts w:ascii="Arial" w:hAnsi="Arial" w:cs="Arial"/>
          <w:color w:val="010000"/>
          <w:sz w:val="20"/>
        </w:rPr>
        <w:t>the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Separate Financial Statements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2"/>
        <w:gridCol w:w="499"/>
        <w:gridCol w:w="1689"/>
        <w:gridCol w:w="1689"/>
        <w:gridCol w:w="1544"/>
        <w:gridCol w:w="516"/>
      </w:tblGrid>
      <w:tr w:rsidR="00BE466E" w:rsidRPr="00BF4EF7" w14:paraId="736A6F75" w14:textId="77777777" w:rsidTr="00BF4EF7">
        <w:tc>
          <w:tcPr>
            <w:tcW w:w="1723" w:type="pct"/>
            <w:shd w:val="clear" w:color="auto" w:fill="auto"/>
            <w:vAlign w:val="center"/>
          </w:tcPr>
          <w:p w14:paraId="760614E3" w14:textId="77777777" w:rsidR="00BE466E" w:rsidRPr="00BF4EF7" w:rsidRDefault="00BF4EF7" w:rsidP="00BF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5C448B" w14:textId="77777777" w:rsidR="00BE466E" w:rsidRPr="00BF4EF7" w:rsidRDefault="00BF4EF7" w:rsidP="00BF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8BE80E9" w14:textId="77777777" w:rsidR="00BE466E" w:rsidRPr="00BF4EF7" w:rsidRDefault="00BF4EF7" w:rsidP="00BF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Amount after audit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641A27" w14:textId="77777777" w:rsidR="00BE466E" w:rsidRPr="00BF4EF7" w:rsidRDefault="00BF4EF7" w:rsidP="00BF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Amount before audit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E4C03CB" w14:textId="77777777" w:rsidR="00BE466E" w:rsidRPr="00BF4EF7" w:rsidRDefault="00BF4EF7" w:rsidP="00BF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53A2A03" w14:textId="77777777" w:rsidR="00BE466E" w:rsidRPr="00BF4EF7" w:rsidRDefault="00BF4EF7" w:rsidP="00BF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E466E" w:rsidRPr="00BF4EF7" w14:paraId="3A76CB72" w14:textId="77777777" w:rsidTr="00BF4EF7">
        <w:tc>
          <w:tcPr>
            <w:tcW w:w="1723" w:type="pct"/>
            <w:shd w:val="clear" w:color="auto" w:fill="auto"/>
            <w:vAlign w:val="center"/>
          </w:tcPr>
          <w:p w14:paraId="5542C87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10C1C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3E820D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B403DF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A95AAC8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6AC59F22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5ED4C687" w14:textId="77777777" w:rsidTr="00BF4EF7">
        <w:tc>
          <w:tcPr>
            <w:tcW w:w="1723" w:type="pct"/>
            <w:shd w:val="clear" w:color="auto" w:fill="auto"/>
            <w:vAlign w:val="center"/>
          </w:tcPr>
          <w:p w14:paraId="7A67A40F" w14:textId="77777777" w:rsidR="00BE466E" w:rsidRPr="00BF4EF7" w:rsidRDefault="00BF4EF7" w:rsidP="00BF4E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0DD6D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EF919EE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1,134,636,901,685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5648F1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1,134,636,901,685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DD3023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3098233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6DDAF995" w14:textId="77777777" w:rsidTr="00BF4EF7">
        <w:tc>
          <w:tcPr>
            <w:tcW w:w="1723" w:type="pct"/>
            <w:shd w:val="clear" w:color="auto" w:fill="auto"/>
            <w:vAlign w:val="center"/>
          </w:tcPr>
          <w:p w14:paraId="23D10761" w14:textId="77777777" w:rsidR="00BE466E" w:rsidRPr="00BF4EF7" w:rsidRDefault="00BF4EF7" w:rsidP="00BF4E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514E20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D2F7BC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1ABA62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113115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38D469E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2B6E667D" w14:textId="77777777" w:rsidTr="00BF4EF7">
        <w:tc>
          <w:tcPr>
            <w:tcW w:w="1723" w:type="pct"/>
            <w:shd w:val="clear" w:color="auto" w:fill="auto"/>
            <w:vAlign w:val="center"/>
          </w:tcPr>
          <w:p w14:paraId="04A5BACD" w14:textId="77777777" w:rsidR="00BE466E" w:rsidRPr="00BF4EF7" w:rsidRDefault="00BF4EF7" w:rsidP="00BF4E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Net revenue from goods sales and service provision (10 = 01 - 02)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4FBECB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FB502B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1,134,636,901,685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E3534D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1,134,636,901,685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A37FAB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099E838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030967FD" w14:textId="77777777" w:rsidTr="00BF4EF7">
        <w:tc>
          <w:tcPr>
            <w:tcW w:w="1723" w:type="pct"/>
            <w:shd w:val="clear" w:color="auto" w:fill="auto"/>
            <w:vAlign w:val="center"/>
          </w:tcPr>
          <w:p w14:paraId="455EA174" w14:textId="77777777" w:rsidR="00BE466E" w:rsidRPr="00BF4EF7" w:rsidRDefault="00BF4EF7" w:rsidP="00BF4E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A64AE8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38848DB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1,080,637,748,216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E5FF54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1,080,659,660,189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251074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-21,911,973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990CCB1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70700A53" w14:textId="77777777" w:rsidTr="00BF4EF7">
        <w:tc>
          <w:tcPr>
            <w:tcW w:w="1723" w:type="pct"/>
            <w:shd w:val="clear" w:color="auto" w:fill="auto"/>
            <w:vAlign w:val="center"/>
          </w:tcPr>
          <w:p w14:paraId="1AE7058B" w14:textId="77777777" w:rsidR="00BE466E" w:rsidRPr="00BF4EF7" w:rsidRDefault="00BF4EF7" w:rsidP="00BF4E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Gross profit from goods sales and service provision (20 = 10 - 11)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BCC548E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8D498C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53,999,153,469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EF54E1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53,977,241,496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3C300E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21,911,973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B07AC75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383BD7B4" w14:textId="77777777" w:rsidTr="00BF4EF7">
        <w:tc>
          <w:tcPr>
            <w:tcW w:w="1723" w:type="pct"/>
            <w:shd w:val="clear" w:color="auto" w:fill="auto"/>
            <w:vAlign w:val="center"/>
          </w:tcPr>
          <w:p w14:paraId="1548FBE1" w14:textId="77777777" w:rsidR="00BE466E" w:rsidRPr="00BF4EF7" w:rsidRDefault="00BF4EF7" w:rsidP="00BF4E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BF3A59B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D24EDF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47,093,453,727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CCB1C7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47,093,453,725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70ED57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F2136AF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694ACBDA" w14:textId="77777777" w:rsidTr="00BF4EF7">
        <w:tc>
          <w:tcPr>
            <w:tcW w:w="1723" w:type="pct"/>
            <w:shd w:val="clear" w:color="auto" w:fill="auto"/>
            <w:vAlign w:val="center"/>
          </w:tcPr>
          <w:p w14:paraId="6ACEDF3E" w14:textId="77777777" w:rsidR="00BE466E" w:rsidRPr="00BF4EF7" w:rsidRDefault="00BF4EF7" w:rsidP="00BF4E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Financial expense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D5738F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6316E3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116,529,180,720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15E11F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76,968,960,899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0E31BD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39,560,219,821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3B030B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[1]</w:t>
            </w:r>
          </w:p>
        </w:tc>
      </w:tr>
      <w:tr w:rsidR="00BE466E" w:rsidRPr="00BF4EF7" w14:paraId="18AE42AE" w14:textId="77777777" w:rsidTr="00BF4EF7">
        <w:tc>
          <w:tcPr>
            <w:tcW w:w="1723" w:type="pct"/>
            <w:shd w:val="clear" w:color="auto" w:fill="auto"/>
            <w:vAlign w:val="center"/>
          </w:tcPr>
          <w:p w14:paraId="757B5A6F" w14:textId="77777777" w:rsidR="00BE466E" w:rsidRPr="00BF4EF7" w:rsidRDefault="00BF4EF7" w:rsidP="00BF4E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In which: Interest expense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49584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0CC4A5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35,020,836,090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84C244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35,020,836,090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C186E4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04B0291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46B7C7F5" w14:textId="77777777" w:rsidTr="00BF4EF7">
        <w:tc>
          <w:tcPr>
            <w:tcW w:w="1723" w:type="pct"/>
            <w:shd w:val="clear" w:color="auto" w:fill="auto"/>
            <w:vAlign w:val="center"/>
          </w:tcPr>
          <w:p w14:paraId="7040C40E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FAE4BC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C9E643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22,729,620,481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377781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22,729,620,465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94793C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9FC14D4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5043454D" w14:textId="77777777" w:rsidTr="00BF4EF7">
        <w:tc>
          <w:tcPr>
            <w:tcW w:w="1723" w:type="pct"/>
            <w:shd w:val="clear" w:color="auto" w:fill="auto"/>
            <w:vAlign w:val="center"/>
          </w:tcPr>
          <w:p w14:paraId="137ECBA9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257DB1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F7C491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22,507,796,438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E0C9B0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22,270,400,211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4A4116B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237,396,227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53D005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[2]</w:t>
            </w:r>
          </w:p>
        </w:tc>
      </w:tr>
      <w:tr w:rsidR="00BE466E" w:rsidRPr="00BF4EF7" w14:paraId="7C953154" w14:textId="77777777" w:rsidTr="00BF4EF7">
        <w:tc>
          <w:tcPr>
            <w:tcW w:w="1723" w:type="pct"/>
            <w:shd w:val="clear" w:color="auto" w:fill="auto"/>
            <w:vAlign w:val="center"/>
          </w:tcPr>
          <w:p w14:paraId="3FC67530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Net profit from business activities {30 = 20+ (21 - 22) - (25+ 26)}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B8A809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B73E5A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-60,673,990,443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83D94A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-20,898,286,354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D7D915B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-39,775,704,089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53E2819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4CA81415" w14:textId="77777777" w:rsidTr="00BF4EF7">
        <w:tc>
          <w:tcPr>
            <w:tcW w:w="1723" w:type="pct"/>
            <w:shd w:val="clear" w:color="auto" w:fill="auto"/>
            <w:vAlign w:val="center"/>
          </w:tcPr>
          <w:p w14:paraId="02925317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28A384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B9EBC7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282,223,260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3B1E21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282,223,260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A3AC47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B9134EC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29B3160E" w14:textId="77777777" w:rsidTr="00BF4EF7">
        <w:tc>
          <w:tcPr>
            <w:tcW w:w="1723" w:type="pct"/>
            <w:shd w:val="clear" w:color="auto" w:fill="auto"/>
            <w:vAlign w:val="center"/>
          </w:tcPr>
          <w:p w14:paraId="67173501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0595D3B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F5A493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76,107,687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5B6D5D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76,106,374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2355BE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1,313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413E133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0BE8A700" w14:textId="77777777" w:rsidTr="00BF4EF7">
        <w:tc>
          <w:tcPr>
            <w:tcW w:w="1723" w:type="pct"/>
            <w:shd w:val="clear" w:color="auto" w:fill="auto"/>
            <w:vAlign w:val="center"/>
          </w:tcPr>
          <w:p w14:paraId="5661D739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Other profits (40 = 31 - 32)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28A922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914CF7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206,115,573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E67A2A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206,116,886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8D8E29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-1,313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37ADFCE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4B2C5E30" w14:textId="77777777" w:rsidTr="00BF4EF7">
        <w:tc>
          <w:tcPr>
            <w:tcW w:w="1723" w:type="pct"/>
            <w:shd w:val="clear" w:color="auto" w:fill="auto"/>
            <w:vAlign w:val="center"/>
          </w:tcPr>
          <w:p w14:paraId="775B5136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lastRenderedPageBreak/>
              <w:t>Total profit before tax (50 = 30 + 40)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4776E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1A89618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-60,467,874,870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B92CFF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-20,692,169,468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A4107E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-39,775,705,402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BD811B7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51239BBF" w14:textId="77777777" w:rsidTr="00BF4EF7">
        <w:tc>
          <w:tcPr>
            <w:tcW w:w="1723" w:type="pct"/>
            <w:shd w:val="clear" w:color="auto" w:fill="auto"/>
            <w:vAlign w:val="center"/>
          </w:tcPr>
          <w:p w14:paraId="002646EF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7BFD1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AA9330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81742F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F71237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26AAAB5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625EA0D5" w14:textId="77777777" w:rsidTr="00BF4EF7">
        <w:tc>
          <w:tcPr>
            <w:tcW w:w="1723" w:type="pct"/>
            <w:shd w:val="clear" w:color="auto" w:fill="auto"/>
            <w:vAlign w:val="center"/>
          </w:tcPr>
          <w:p w14:paraId="5E1ADEDB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Deferred corporate income tax expense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E45AB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E77F7B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B660E6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5435BB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4231EBA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36915D6E" w14:textId="77777777" w:rsidTr="00BF4EF7">
        <w:tc>
          <w:tcPr>
            <w:tcW w:w="1723" w:type="pct"/>
            <w:shd w:val="clear" w:color="auto" w:fill="auto"/>
            <w:vAlign w:val="center"/>
          </w:tcPr>
          <w:p w14:paraId="634CEE5B" w14:textId="77777777" w:rsidR="00BE466E" w:rsidRPr="00BF4EF7" w:rsidRDefault="00BF4EF7" w:rsidP="00BF4E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Profit after tax (60=50 - 51 - 52)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961173E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CC5548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-60,467,874,870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947AE6E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-20,692,169,468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DFB9C6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(39,775,705,402)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8AD2C8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[3]</w:t>
            </w:r>
          </w:p>
        </w:tc>
      </w:tr>
    </w:tbl>
    <w:p w14:paraId="01BA1583" w14:textId="77777777" w:rsidR="00BE466E" w:rsidRPr="00BF4EF7" w:rsidRDefault="00BF4EF7" w:rsidP="00A964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The reason for the change is that the Auditor adjusted the provision for bad receivable debts at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BF4EF7">
        <w:rPr>
          <w:rFonts w:ascii="Arial" w:hAnsi="Arial" w:cs="Arial"/>
          <w:color w:val="010000"/>
          <w:sz w:val="20"/>
        </w:rPr>
        <w:t>Tay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Trading. Therefore, the Company must set up a provision for investment price reduction in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BF4EF7">
        <w:rPr>
          <w:rFonts w:ascii="Arial" w:hAnsi="Arial" w:cs="Arial"/>
          <w:color w:val="010000"/>
          <w:sz w:val="20"/>
        </w:rPr>
        <w:t>Tay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</w:t>
      </w:r>
      <w:proofErr w:type="gramStart"/>
      <w:r w:rsidRPr="00BF4EF7">
        <w:rPr>
          <w:rFonts w:ascii="Arial" w:hAnsi="Arial" w:cs="Arial"/>
          <w:color w:val="010000"/>
          <w:sz w:val="20"/>
        </w:rPr>
        <w:t>Trading</w:t>
      </w:r>
      <w:proofErr w:type="gramEnd"/>
      <w:r w:rsidRPr="00BF4EF7">
        <w:rPr>
          <w:rFonts w:ascii="Arial" w:hAnsi="Arial" w:cs="Arial"/>
          <w:color w:val="010000"/>
          <w:sz w:val="20"/>
        </w:rPr>
        <w:t xml:space="preserve"> (subsidiary), causing financial expenses to increase by a corresponding amount.</w:t>
      </w:r>
    </w:p>
    <w:p w14:paraId="5AD8002E" w14:textId="77777777" w:rsidR="00BE466E" w:rsidRPr="00BF4EF7" w:rsidRDefault="00BF4EF7" w:rsidP="00A964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>The reason for the change is that the Auditor requested the Company to set up a provision for 2 bad receivable debts, increasing general and administrative expense by a corresponding amount.</w:t>
      </w:r>
    </w:p>
    <w:p w14:paraId="2B8BCA64" w14:textId="77777777" w:rsidR="00BE466E" w:rsidRPr="00BF4EF7" w:rsidRDefault="00BF4EF7" w:rsidP="00A964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Profit after tax increased the loss by VND (39,775,705,402). Due to additional adjustments to make provisions made for reduction in investment price in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BF4EF7">
        <w:rPr>
          <w:rFonts w:ascii="Arial" w:hAnsi="Arial" w:cs="Arial"/>
          <w:color w:val="010000"/>
          <w:sz w:val="20"/>
        </w:rPr>
        <w:t>Tay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Trading and provisions for bad receivable debts of the Company.</w:t>
      </w:r>
    </w:p>
    <w:p w14:paraId="2CE03B77" w14:textId="77777777" w:rsidR="00BE466E" w:rsidRPr="00BF4EF7" w:rsidRDefault="00BF4EF7" w:rsidP="00A96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>Consolidated Income Statement 2023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499"/>
        <w:gridCol w:w="1689"/>
        <w:gridCol w:w="1689"/>
        <w:gridCol w:w="1544"/>
        <w:gridCol w:w="443"/>
      </w:tblGrid>
      <w:tr w:rsidR="00BE466E" w:rsidRPr="00BF4EF7" w14:paraId="18DBC68D" w14:textId="77777777" w:rsidTr="00BF4EF7">
        <w:tc>
          <w:tcPr>
            <w:tcW w:w="1795" w:type="pct"/>
            <w:shd w:val="clear" w:color="auto" w:fill="auto"/>
            <w:vAlign w:val="center"/>
          </w:tcPr>
          <w:p w14:paraId="3156159B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E8798D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2FEB55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Amount before audit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0807B0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Amount after audit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BFD08B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5437B3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E466E" w:rsidRPr="00BF4EF7" w14:paraId="1BCC6F48" w14:textId="77777777" w:rsidTr="00BF4EF7">
        <w:tc>
          <w:tcPr>
            <w:tcW w:w="1795" w:type="pct"/>
            <w:shd w:val="clear" w:color="auto" w:fill="auto"/>
            <w:vAlign w:val="center"/>
          </w:tcPr>
          <w:p w14:paraId="425CDE92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FD36E9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D4671BE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2,021,387,817,833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2866C9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2,020,187,383,885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A011D0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1,200,433,948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7C42BA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[1]</w:t>
            </w:r>
          </w:p>
        </w:tc>
      </w:tr>
      <w:tr w:rsidR="00BE466E" w:rsidRPr="00BF4EF7" w14:paraId="0360274F" w14:textId="77777777" w:rsidTr="00BF4EF7">
        <w:tc>
          <w:tcPr>
            <w:tcW w:w="1795" w:type="pct"/>
            <w:shd w:val="clear" w:color="auto" w:fill="auto"/>
            <w:vAlign w:val="center"/>
          </w:tcPr>
          <w:p w14:paraId="0CD5D20F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1E8461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6D4D1FE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D88D29E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504E3F8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7AA8294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0B164C1D" w14:textId="77777777" w:rsidTr="00BF4EF7">
        <w:tc>
          <w:tcPr>
            <w:tcW w:w="1795" w:type="pct"/>
            <w:shd w:val="clear" w:color="auto" w:fill="auto"/>
            <w:vAlign w:val="center"/>
          </w:tcPr>
          <w:p w14:paraId="1AD0B660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Net revenue from goods sales and service provision (10 = 01 - 02)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3F14EF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B6EA47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2,021,387,817,833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EA7F0B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2,020,187,383,885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BCAC95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1,200,433,948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D9AEA2C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0532A0D8" w14:textId="77777777" w:rsidTr="00BF4EF7">
        <w:tc>
          <w:tcPr>
            <w:tcW w:w="1795" w:type="pct"/>
            <w:shd w:val="clear" w:color="auto" w:fill="auto"/>
            <w:vAlign w:val="center"/>
          </w:tcPr>
          <w:p w14:paraId="7172BBDD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99E0A7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F054B5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2,020,653,998,278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927C14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2,011,958,362,220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52E08D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8,695,636,058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215463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[2]</w:t>
            </w:r>
          </w:p>
        </w:tc>
      </w:tr>
      <w:tr w:rsidR="00BE466E" w:rsidRPr="00BF4EF7" w14:paraId="0D6E76C9" w14:textId="77777777" w:rsidTr="00BF4EF7">
        <w:tc>
          <w:tcPr>
            <w:tcW w:w="1795" w:type="pct"/>
            <w:shd w:val="clear" w:color="auto" w:fill="auto"/>
            <w:vAlign w:val="center"/>
          </w:tcPr>
          <w:p w14:paraId="02512630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Gross profit from goods sales and service provision (20 = 10 - 11)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E32ADE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945995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733,819,555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E195BC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8,229,021,665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DE2B6C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(7,495,202,110)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D8B2099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26C2C6B5" w14:textId="77777777" w:rsidTr="00BF4EF7">
        <w:tc>
          <w:tcPr>
            <w:tcW w:w="1795" w:type="pct"/>
            <w:shd w:val="clear" w:color="auto" w:fill="auto"/>
            <w:vAlign w:val="center"/>
          </w:tcPr>
          <w:p w14:paraId="61CFB165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7D5484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C41DA4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17,543,260,978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55FA89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17,543,260,978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1D377A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8A32B58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1F8A6450" w14:textId="77777777" w:rsidTr="00BF4EF7">
        <w:tc>
          <w:tcPr>
            <w:tcW w:w="1795" w:type="pct"/>
            <w:shd w:val="clear" w:color="auto" w:fill="auto"/>
            <w:vAlign w:val="center"/>
          </w:tcPr>
          <w:p w14:paraId="194DCB6C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881B48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2F7145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40,656,327,044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BD3B55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40,656,327,044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3E0370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BACCEE8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52B5BE2C" w14:textId="77777777" w:rsidTr="00BF4EF7">
        <w:tc>
          <w:tcPr>
            <w:tcW w:w="1795" w:type="pct"/>
            <w:shd w:val="clear" w:color="auto" w:fill="auto"/>
            <w:vAlign w:val="center"/>
          </w:tcPr>
          <w:p w14:paraId="1B371639" w14:textId="77777777" w:rsidR="00BE466E" w:rsidRPr="00BF4EF7" w:rsidRDefault="00BF4EF7" w:rsidP="00BF4E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In which: Interest expense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B5C554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0409D6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40,554,365,627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9E4122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40,554,365,627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D99147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4B22EAE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6FD216A2" w14:textId="77777777" w:rsidTr="00BF4EF7">
        <w:tc>
          <w:tcPr>
            <w:tcW w:w="1795" w:type="pct"/>
            <w:shd w:val="clear" w:color="auto" w:fill="auto"/>
            <w:vAlign w:val="center"/>
          </w:tcPr>
          <w:p w14:paraId="214D8C95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 xml:space="preserve">Profits or losses in the joint </w:t>
            </w:r>
            <w:r w:rsidRPr="00BF4EF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ventures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716E78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lastRenderedPageBreak/>
              <w:t>24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4BBFC4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7,574,913,256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AC932E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7,574,913,256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3B2102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1233C6D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288B53E6" w14:textId="77777777" w:rsidTr="00BF4EF7">
        <w:tc>
          <w:tcPr>
            <w:tcW w:w="1795" w:type="pct"/>
            <w:shd w:val="clear" w:color="auto" w:fill="auto"/>
            <w:vAlign w:val="center"/>
          </w:tcPr>
          <w:p w14:paraId="69BB3A90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lastRenderedPageBreak/>
              <w:t>Selling expense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EC28DF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8CC120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37,736,914,876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7DD126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35,681,877,966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716D9A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2,055,036,910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2A96B6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[3]</w:t>
            </w:r>
          </w:p>
        </w:tc>
      </w:tr>
      <w:tr w:rsidR="00BE466E" w:rsidRPr="00BF4EF7" w14:paraId="0C901850" w14:textId="77777777" w:rsidTr="00BF4EF7">
        <w:tc>
          <w:tcPr>
            <w:tcW w:w="1795" w:type="pct"/>
            <w:shd w:val="clear" w:color="auto" w:fill="auto"/>
            <w:vAlign w:val="center"/>
          </w:tcPr>
          <w:p w14:paraId="041E587A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B35037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BD26FC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49,089,045,522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316073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90,424,237,114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F1ED8F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(41,335,191,592)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D76405E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[4]</w:t>
            </w:r>
          </w:p>
        </w:tc>
      </w:tr>
      <w:tr w:rsidR="00BE466E" w:rsidRPr="00BF4EF7" w14:paraId="3CBF7C33" w14:textId="77777777" w:rsidTr="00BF4EF7">
        <w:tc>
          <w:tcPr>
            <w:tcW w:w="1795" w:type="pct"/>
            <w:shd w:val="clear" w:color="auto" w:fill="auto"/>
            <w:vAlign w:val="center"/>
          </w:tcPr>
          <w:p w14:paraId="0F017774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Net profit from business activities {30 = 20 + (21 - 22) - (25 + 26)}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6504E12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1CFD378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-101,630,293,653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CF06EA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-133,415,246,225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ED197C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31,784,952,572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9B9174C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101D83D5" w14:textId="77777777" w:rsidTr="00BF4EF7">
        <w:tc>
          <w:tcPr>
            <w:tcW w:w="1795" w:type="pct"/>
            <w:shd w:val="clear" w:color="auto" w:fill="auto"/>
            <w:vAlign w:val="center"/>
          </w:tcPr>
          <w:p w14:paraId="190C9635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2EB356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46BF16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2,339,660,170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C18DF7A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284,623,260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14203B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2,055,036,910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C96613F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[3]</w:t>
            </w:r>
          </w:p>
        </w:tc>
      </w:tr>
      <w:tr w:rsidR="00BE466E" w:rsidRPr="00BF4EF7" w14:paraId="40766D4B" w14:textId="77777777" w:rsidTr="00BF4EF7">
        <w:tc>
          <w:tcPr>
            <w:tcW w:w="1795" w:type="pct"/>
            <w:shd w:val="clear" w:color="auto" w:fill="auto"/>
            <w:vAlign w:val="center"/>
          </w:tcPr>
          <w:p w14:paraId="57574E6E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B68B9D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BAD30F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78,147,937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E3C236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78,147,937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426548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D855E10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27C3F343" w14:textId="77777777" w:rsidTr="00BF4EF7">
        <w:tc>
          <w:tcPr>
            <w:tcW w:w="1795" w:type="pct"/>
            <w:shd w:val="clear" w:color="auto" w:fill="auto"/>
            <w:vAlign w:val="center"/>
          </w:tcPr>
          <w:p w14:paraId="1A4BBC27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Other profits (40 = 31 - 32)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67DD8D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4F4A48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2,261,512,233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8594CA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206,475,323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4DF5D1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2,055,036,910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8023550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31F7FCD4" w14:textId="77777777" w:rsidTr="00BF4EF7">
        <w:tc>
          <w:tcPr>
            <w:tcW w:w="1795" w:type="pct"/>
            <w:shd w:val="clear" w:color="auto" w:fill="auto"/>
            <w:vAlign w:val="center"/>
          </w:tcPr>
          <w:p w14:paraId="235829D5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Total profit before tax (50 = 30 + 40)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84997B7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A4DF7F6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-99,368,781,420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C2E5FD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-133,208,770,902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A1FEC9C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33,839,989,482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5C50259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1C157926" w14:textId="77777777" w:rsidTr="00BF4EF7">
        <w:tc>
          <w:tcPr>
            <w:tcW w:w="1795" w:type="pct"/>
            <w:shd w:val="clear" w:color="auto" w:fill="auto"/>
            <w:vAlign w:val="center"/>
          </w:tcPr>
          <w:p w14:paraId="11AB2B75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EAEE431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67530F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2,667,113,224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8E3AB94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2,736,710,824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13A035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(69,597,600)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99DF6E4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E466E" w:rsidRPr="00BF4EF7" w14:paraId="76A386BB" w14:textId="77777777" w:rsidTr="00BF4EF7">
        <w:tc>
          <w:tcPr>
            <w:tcW w:w="1795" w:type="pct"/>
            <w:shd w:val="clear" w:color="auto" w:fill="auto"/>
            <w:vAlign w:val="center"/>
          </w:tcPr>
          <w:p w14:paraId="7ED564FE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Deferred corporate income tax expense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B905B55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C0CBDD8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-1,794,498,919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FDBEBE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16,281,276,643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2F4B32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(18,075,775,562)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089197D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[5]</w:t>
            </w:r>
          </w:p>
        </w:tc>
      </w:tr>
      <w:tr w:rsidR="00BE466E" w:rsidRPr="00BF4EF7" w14:paraId="02846E59" w14:textId="77777777" w:rsidTr="00BF4EF7">
        <w:tc>
          <w:tcPr>
            <w:tcW w:w="1795" w:type="pct"/>
            <w:shd w:val="clear" w:color="auto" w:fill="auto"/>
            <w:vAlign w:val="center"/>
          </w:tcPr>
          <w:p w14:paraId="7A74A838" w14:textId="77777777" w:rsidR="00BE466E" w:rsidRPr="00BF4EF7" w:rsidRDefault="00BF4EF7" w:rsidP="00BF4E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Profit after (60 = 50 - 51 - 52)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86668F3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BD50ED0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-100,241,395,725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7A627E9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-152,226,758,369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C561A7E" w14:textId="77777777" w:rsidR="00BE466E" w:rsidRPr="00BF4EF7" w:rsidRDefault="00BF4EF7" w:rsidP="00A9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4EF7">
              <w:rPr>
                <w:rFonts w:ascii="Arial" w:hAnsi="Arial" w:cs="Arial"/>
                <w:color w:val="010000"/>
                <w:sz w:val="20"/>
              </w:rPr>
              <w:t>51,985,362,644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E432F8F" w14:textId="77777777" w:rsidR="00BE466E" w:rsidRPr="00BF4EF7" w:rsidRDefault="00BE466E" w:rsidP="00A9642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D8A074D" w14:textId="77777777" w:rsidR="00BE466E" w:rsidRPr="00BF4EF7" w:rsidRDefault="00BF4EF7" w:rsidP="00A964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Because the Company excluded the lack of internal revenue sold by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BF4EF7">
        <w:rPr>
          <w:rFonts w:ascii="Arial" w:hAnsi="Arial" w:cs="Arial"/>
          <w:color w:val="010000"/>
          <w:sz w:val="20"/>
        </w:rPr>
        <w:t>Tay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Trading to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BF4EF7">
        <w:rPr>
          <w:rFonts w:ascii="Arial" w:hAnsi="Arial" w:cs="Arial"/>
          <w:color w:val="010000"/>
          <w:sz w:val="20"/>
        </w:rPr>
        <w:t>Phu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Ly Beer Company Limited.</w:t>
      </w:r>
    </w:p>
    <w:p w14:paraId="2346ECF1" w14:textId="77777777" w:rsidR="00BE466E" w:rsidRPr="00BF4EF7" w:rsidRDefault="00BF4EF7" w:rsidP="00A964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Because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BF4EF7">
        <w:rPr>
          <w:rFonts w:ascii="Arial" w:hAnsi="Arial" w:cs="Arial"/>
          <w:color w:val="010000"/>
          <w:sz w:val="20"/>
        </w:rPr>
        <w:t>Ninh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Thuan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Company Limited increased the cost of goods sold after the Holding Company prepared the Consolidated Income Statement.</w:t>
      </w:r>
      <w:bookmarkStart w:id="0" w:name="_GoBack"/>
      <w:bookmarkEnd w:id="0"/>
    </w:p>
    <w:p w14:paraId="72FCAD78" w14:textId="77777777" w:rsidR="00BE466E" w:rsidRPr="00BF4EF7" w:rsidRDefault="00BF4EF7" w:rsidP="00A964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Because the Company excluded the lack of internal transactions, the amount of money to support selling expense in 2023 for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BF4EF7">
        <w:rPr>
          <w:rFonts w:ascii="Arial" w:hAnsi="Arial" w:cs="Arial"/>
          <w:color w:val="010000"/>
          <w:sz w:val="20"/>
        </w:rPr>
        <w:t>Tay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Trading.</w:t>
      </w:r>
    </w:p>
    <w:p w14:paraId="6297BF37" w14:textId="77777777" w:rsidR="00BE466E" w:rsidRPr="00BF4EF7" w:rsidRDefault="00BF4EF7" w:rsidP="00A964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 xml:space="preserve">Because the auditor adjusted the journal entry to make provision for bad receivable debts at </w:t>
      </w:r>
      <w:proofErr w:type="spellStart"/>
      <w:r w:rsidRPr="00BF4EF7">
        <w:rPr>
          <w:rFonts w:ascii="Arial" w:hAnsi="Arial" w:cs="Arial"/>
          <w:color w:val="010000"/>
          <w:sz w:val="20"/>
        </w:rPr>
        <w:t>Sai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4EF7">
        <w:rPr>
          <w:rFonts w:ascii="Arial" w:hAnsi="Arial" w:cs="Arial"/>
          <w:color w:val="010000"/>
          <w:sz w:val="20"/>
        </w:rPr>
        <w:t>Gon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BF4EF7">
        <w:rPr>
          <w:rFonts w:ascii="Arial" w:hAnsi="Arial" w:cs="Arial"/>
          <w:color w:val="010000"/>
          <w:sz w:val="20"/>
        </w:rPr>
        <w:t>Tay</w:t>
      </w:r>
      <w:proofErr w:type="spellEnd"/>
      <w:r w:rsidRPr="00BF4EF7">
        <w:rPr>
          <w:rFonts w:ascii="Arial" w:hAnsi="Arial" w:cs="Arial"/>
          <w:color w:val="010000"/>
          <w:sz w:val="20"/>
        </w:rPr>
        <w:t xml:space="preserve"> Beer Trading, causing general and administrative expense to increase by a corresponding amount.</w:t>
      </w:r>
    </w:p>
    <w:p w14:paraId="728F8D19" w14:textId="77777777" w:rsidR="00BE466E" w:rsidRPr="00BF4EF7" w:rsidRDefault="00BF4EF7" w:rsidP="00A964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4EF7">
        <w:rPr>
          <w:rFonts w:ascii="Arial" w:hAnsi="Arial" w:cs="Arial"/>
          <w:color w:val="010000"/>
          <w:sz w:val="20"/>
        </w:rPr>
        <w:t>Because the auditor adjusted the increase in deferred corporate tax expenses for provision expenses to Subsidiaries</w:t>
      </w:r>
    </w:p>
    <w:sectPr w:rsidR="00BE466E" w:rsidRPr="00BF4EF7" w:rsidSect="00BF4EF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E8"/>
    <w:multiLevelType w:val="multilevel"/>
    <w:tmpl w:val="AC12AE62"/>
    <w:lvl w:ilvl="0">
      <w:start w:val="1"/>
      <w:numFmt w:val="decimal"/>
      <w:lvlText w:val="[%1]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4A2300"/>
    <w:multiLevelType w:val="multilevel"/>
    <w:tmpl w:val="D9A08E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1671"/>
    <w:multiLevelType w:val="multilevel"/>
    <w:tmpl w:val="33EE9F7A"/>
    <w:lvl w:ilvl="0">
      <w:start w:val="1"/>
      <w:numFmt w:val="upperRoman"/>
      <w:lvlText w:val="%1-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52EF"/>
    <w:multiLevelType w:val="multilevel"/>
    <w:tmpl w:val="D10A01FA"/>
    <w:lvl w:ilvl="0">
      <w:start w:val="9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B17A4"/>
    <w:multiLevelType w:val="multilevel"/>
    <w:tmpl w:val="2346955E"/>
    <w:lvl w:ilvl="0">
      <w:start w:val="1"/>
      <w:numFmt w:val="decimal"/>
      <w:lvlText w:val="[%1]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C903A9"/>
    <w:multiLevelType w:val="multilevel"/>
    <w:tmpl w:val="49FCAC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17096"/>
    <w:multiLevelType w:val="multilevel"/>
    <w:tmpl w:val="F01E4772"/>
    <w:lvl w:ilvl="0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6E"/>
    <w:rsid w:val="00A96429"/>
    <w:rsid w:val="00BE466E"/>
    <w:rsid w:val="00B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1487A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ind w:firstLine="1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66" w:lineRule="auto"/>
      <w:ind w:firstLine="420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 (5)"/>
    <w:basedOn w:val="Normal"/>
    <w:link w:val="Bodytext5"/>
    <w:pPr>
      <w:spacing w:line="456" w:lineRule="auto"/>
      <w:jc w:val="center"/>
    </w:pPr>
    <w:rPr>
      <w:rFonts w:ascii="Arial" w:eastAsia="Arial" w:hAnsi="Arial" w:cs="Arial"/>
      <w:color w:val="D1487A"/>
    </w:rPr>
  </w:style>
  <w:style w:type="paragraph" w:customStyle="1" w:styleId="Heading11">
    <w:name w:val="Heading #1"/>
    <w:basedOn w:val="Normal"/>
    <w:link w:val="Heading10"/>
    <w:pPr>
      <w:ind w:left="12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1487A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ind w:firstLine="1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66" w:lineRule="auto"/>
      <w:ind w:firstLine="420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 (5)"/>
    <w:basedOn w:val="Normal"/>
    <w:link w:val="Bodytext5"/>
    <w:pPr>
      <w:spacing w:line="456" w:lineRule="auto"/>
      <w:jc w:val="center"/>
    </w:pPr>
    <w:rPr>
      <w:rFonts w:ascii="Arial" w:eastAsia="Arial" w:hAnsi="Arial" w:cs="Arial"/>
      <w:color w:val="D1487A"/>
    </w:rPr>
  </w:style>
  <w:style w:type="paragraph" w:customStyle="1" w:styleId="Heading11">
    <w:name w:val="Heading #1"/>
    <w:basedOn w:val="Normal"/>
    <w:link w:val="Heading10"/>
    <w:pPr>
      <w:ind w:left="12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2W01nmC1DQ+smP9b6FRHNE8tEw==">CgMxLjA4AHIhMUYwLUZQcVp2UjZxakE2M00tdkNMQjNnSjY3MFJPUnJR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2024-04-26T04:31:00Z</dcterms:created>
  <dcterms:modified xsi:type="dcterms:W3CDTF">2024-05-02T10:14:00Z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c5ca8ce7c54914bc80adec3ef8095a3700a38cf93e5cbeaf6502177bc8df0f31</vt:lpwstr>
  </property>
</Properties>
</file>