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sz w:val="20"/>
        </w:rPr>
        <w:t>SDJ: Annual General Mandate 2024</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On April 23, 2024, Song Da 25 JSC announced General Mandate No. 01/2024/NQ-DHDCD as follows:</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gramStart"/>
      <w:r>
        <w:rPr>
          <w:rFonts w:ascii="Arial" w:hAnsi="Arial"/>
          <w:sz w:val="20"/>
        </w:rPr>
        <w:t>‎‎Article 1.</w:t>
      </w:r>
      <w:proofErr w:type="gramEnd"/>
      <w:r>
        <w:rPr>
          <w:rFonts w:ascii="Arial" w:hAnsi="Arial"/>
          <w:sz w:val="20"/>
        </w:rPr>
        <w:t xml:space="preserve"> </w:t>
      </w:r>
      <w:r>
        <w:rPr>
          <w:rFonts w:ascii="Arial" w:hAnsi="Arial"/>
          <w:sz w:val="20"/>
        </w:rPr>
        <w:t>The Annual General Meeting of Shareholders in 2024 of Song Da 25 JSC resolves to approve the following contents:</w:t>
      </w:r>
    </w:p>
    <w:p w:rsidR="00BF04EA" w:rsidRDefault="00222A56" w:rsidP="008E396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report of the Board of Directors, the report of the Supervisory Board, and the audited Financial Statements for 2023:</w:t>
      </w:r>
    </w:p>
    <w:p w:rsidR="00BF04EA" w:rsidRDefault="00222A56" w:rsidP="008E3966">
      <w:pPr>
        <w:numPr>
          <w:ilvl w:val="0"/>
          <w:numId w:val="11"/>
        </w:numPr>
        <w:pBdr>
          <w:top w:val="nil"/>
          <w:left w:val="nil"/>
          <w:bottom w:val="nil"/>
          <w:right w:val="nil"/>
          <w:between w:val="nil"/>
        </w:pBdr>
        <w:tabs>
          <w:tab w:val="left" w:pos="432"/>
          <w:tab w:val="left" w:pos="546"/>
        </w:tabs>
        <w:spacing w:after="120" w:line="360" w:lineRule="auto"/>
        <w:jc w:val="both"/>
        <w:rPr>
          <w:rFonts w:ascii="Arial" w:eastAsia="Arial" w:hAnsi="Arial" w:cs="Arial"/>
          <w:sz w:val="20"/>
          <w:szCs w:val="20"/>
        </w:rPr>
      </w:pPr>
      <w:r>
        <w:rPr>
          <w:rFonts w:ascii="Arial" w:hAnsi="Arial"/>
          <w:sz w:val="20"/>
        </w:rPr>
        <w:t xml:space="preserve">Contents of the report of the Board of Directors and the report of the Supervisory Board: As presented to the General Meeting </w:t>
      </w:r>
      <w:r>
        <w:rPr>
          <w:rFonts w:ascii="Arial" w:hAnsi="Arial"/>
          <w:sz w:val="20"/>
        </w:rPr>
        <w:t>of Shareholders.</w:t>
      </w:r>
    </w:p>
    <w:p w:rsidR="00BF04EA" w:rsidRDefault="00222A56" w:rsidP="008E3966">
      <w:pPr>
        <w:numPr>
          <w:ilvl w:val="0"/>
          <w:numId w:val="11"/>
        </w:numPr>
        <w:pBdr>
          <w:top w:val="nil"/>
          <w:left w:val="nil"/>
          <w:bottom w:val="nil"/>
          <w:right w:val="nil"/>
          <w:between w:val="nil"/>
        </w:pBdr>
        <w:tabs>
          <w:tab w:val="left" w:pos="432"/>
          <w:tab w:val="left" w:pos="536"/>
        </w:tabs>
        <w:spacing w:after="120" w:line="360" w:lineRule="auto"/>
        <w:jc w:val="both"/>
        <w:rPr>
          <w:rFonts w:ascii="Arial" w:eastAsia="Arial" w:hAnsi="Arial" w:cs="Arial"/>
          <w:sz w:val="20"/>
          <w:szCs w:val="20"/>
        </w:rPr>
      </w:pPr>
      <w:r>
        <w:rPr>
          <w:rFonts w:ascii="Arial" w:hAnsi="Arial"/>
          <w:sz w:val="20"/>
        </w:rPr>
        <w:t>Audited Financial Statements 2023.</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spellStart"/>
      <w:proofErr w:type="gramStart"/>
      <w:r>
        <w:rPr>
          <w:rFonts w:ascii="Arial" w:hAnsi="Arial"/>
          <w:sz w:val="20"/>
        </w:rPr>
        <w:t>xcerpt</w:t>
      </w:r>
      <w:proofErr w:type="spellEnd"/>
      <w:proofErr w:type="gramEnd"/>
      <w:r>
        <w:rPr>
          <w:rFonts w:ascii="Arial" w:hAnsi="Arial"/>
          <w:sz w:val="20"/>
        </w:rPr>
        <w:t xml:space="preserve"> from Audit Report No. 220324.002/BCKT.KT7 dated March 22, 2024 by AASC Auditing Firm Co., Ltd:</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Company's financial position as of December 31, 2023:</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2"/>
        <w:gridCol w:w="2637"/>
      </w:tblGrid>
      <w:tr w:rsidR="00BF04EA">
        <w:trPr>
          <w:trHeight w:val="350"/>
        </w:trPr>
        <w:tc>
          <w:tcPr>
            <w:tcW w:w="6382" w:type="dxa"/>
            <w:shd w:val="clear" w:color="auto" w:fill="FFFFFF"/>
            <w:tcMar>
              <w:top w:w="0" w:type="dxa"/>
              <w:bottom w:w="0" w:type="dxa"/>
            </w:tcMar>
            <w:vAlign w:val="bottom"/>
          </w:tcPr>
          <w:p w:rsidR="00BF04EA" w:rsidRDefault="00222A5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Short-term assets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19,535,042,762</w:t>
            </w:r>
          </w:p>
        </w:tc>
      </w:tr>
      <w:tr w:rsidR="00BF04EA">
        <w:trPr>
          <w:trHeight w:val="336"/>
        </w:trPr>
        <w:tc>
          <w:tcPr>
            <w:tcW w:w="6382" w:type="dxa"/>
            <w:shd w:val="clear" w:color="auto" w:fill="FFFFFF"/>
            <w:tcMar>
              <w:top w:w="0" w:type="dxa"/>
              <w:bottom w:w="0" w:type="dxa"/>
            </w:tcMar>
            <w:vAlign w:val="bottom"/>
          </w:tcPr>
          <w:p w:rsidR="00BF04EA" w:rsidRDefault="00222A5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Cash and cash equivalents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58,465,160</w:t>
            </w:r>
          </w:p>
        </w:tc>
      </w:tr>
      <w:tr w:rsidR="00BF04EA">
        <w:trPr>
          <w:trHeight w:val="331"/>
        </w:trPr>
        <w:tc>
          <w:tcPr>
            <w:tcW w:w="6382" w:type="dxa"/>
            <w:shd w:val="clear" w:color="auto" w:fill="FFFFFF"/>
            <w:tcMar>
              <w:top w:w="0" w:type="dxa"/>
              <w:bottom w:w="0" w:type="dxa"/>
            </w:tcMar>
            <w:vAlign w:val="bottom"/>
          </w:tcPr>
          <w:p w:rsidR="00BF04EA" w:rsidRDefault="00222A5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Short-term receivables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19,355,894,589</w:t>
            </w:r>
          </w:p>
        </w:tc>
      </w:tr>
      <w:tr w:rsidR="00BF04EA">
        <w:trPr>
          <w:trHeight w:val="346"/>
        </w:trPr>
        <w:tc>
          <w:tcPr>
            <w:tcW w:w="6382" w:type="dxa"/>
            <w:shd w:val="clear" w:color="auto" w:fill="FFFFFF"/>
            <w:tcMar>
              <w:top w:w="0" w:type="dxa"/>
              <w:bottom w:w="0" w:type="dxa"/>
            </w:tcMar>
            <w:vAlign w:val="bottom"/>
          </w:tcPr>
          <w:p w:rsidR="00BF04EA" w:rsidRDefault="00222A5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short-term assets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120,683,013</w:t>
            </w:r>
          </w:p>
        </w:tc>
      </w:tr>
      <w:tr w:rsidR="00BF04EA">
        <w:trPr>
          <w:trHeight w:val="341"/>
        </w:trPr>
        <w:tc>
          <w:tcPr>
            <w:tcW w:w="6382" w:type="dxa"/>
            <w:shd w:val="clear" w:color="auto" w:fill="FFFFFF"/>
            <w:tcMar>
              <w:top w:w="0" w:type="dxa"/>
              <w:bottom w:w="0" w:type="dxa"/>
            </w:tcMar>
            <w:vAlign w:val="bottom"/>
          </w:tcPr>
          <w:p w:rsidR="00BF04EA" w:rsidRDefault="00222A5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Long-term assets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5,529,426,133</w:t>
            </w:r>
          </w:p>
        </w:tc>
      </w:tr>
      <w:tr w:rsidR="00BF04EA">
        <w:trPr>
          <w:trHeight w:val="346"/>
        </w:trPr>
        <w:tc>
          <w:tcPr>
            <w:tcW w:w="6382" w:type="dxa"/>
            <w:shd w:val="clear" w:color="auto" w:fill="FFFFFF"/>
            <w:tcMar>
              <w:top w:w="0" w:type="dxa"/>
              <w:bottom w:w="0" w:type="dxa"/>
            </w:tcMar>
            <w:vAlign w:val="bottom"/>
          </w:tcPr>
          <w:p w:rsidR="00BF04EA" w:rsidRDefault="00222A56">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Fixed assets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5,457,977,270</w:t>
            </w:r>
          </w:p>
        </w:tc>
      </w:tr>
      <w:tr w:rsidR="00BF04EA">
        <w:trPr>
          <w:trHeight w:val="336"/>
        </w:trPr>
        <w:tc>
          <w:tcPr>
            <w:tcW w:w="6382" w:type="dxa"/>
            <w:shd w:val="clear" w:color="auto" w:fill="FFFFFF"/>
            <w:tcMar>
              <w:top w:w="0" w:type="dxa"/>
              <w:bottom w:w="0" w:type="dxa"/>
            </w:tcMar>
            <w:vAlign w:val="bottom"/>
          </w:tcPr>
          <w:p w:rsidR="00BF04EA" w:rsidRDefault="00222A5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Tangible fixed assets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2,864,369,863</w:t>
            </w:r>
          </w:p>
        </w:tc>
      </w:tr>
      <w:tr w:rsidR="00BF04EA">
        <w:trPr>
          <w:trHeight w:val="341"/>
        </w:trPr>
        <w:tc>
          <w:tcPr>
            <w:tcW w:w="6382" w:type="dxa"/>
            <w:shd w:val="clear" w:color="auto" w:fill="FFFFFF"/>
            <w:tcMar>
              <w:top w:w="0" w:type="dxa"/>
              <w:bottom w:w="0" w:type="dxa"/>
            </w:tcMar>
            <w:vAlign w:val="bottom"/>
          </w:tcPr>
          <w:p w:rsidR="00BF04EA" w:rsidRDefault="00222A5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Historical cost</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15,031,743,938</w:t>
            </w:r>
          </w:p>
        </w:tc>
      </w:tr>
      <w:tr w:rsidR="00BF04EA">
        <w:trPr>
          <w:trHeight w:val="331"/>
        </w:trPr>
        <w:tc>
          <w:tcPr>
            <w:tcW w:w="6382" w:type="dxa"/>
            <w:shd w:val="clear" w:color="auto" w:fill="FFFFFF"/>
            <w:tcMar>
              <w:top w:w="0" w:type="dxa"/>
              <w:bottom w:w="0" w:type="dxa"/>
            </w:tcMar>
            <w:vAlign w:val="bottom"/>
          </w:tcPr>
          <w:p w:rsidR="00BF04EA" w:rsidRDefault="00222A5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Accumulated depreciation</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-12,167,374,075</w:t>
            </w:r>
          </w:p>
        </w:tc>
      </w:tr>
      <w:tr w:rsidR="00BF04EA">
        <w:trPr>
          <w:trHeight w:val="331"/>
        </w:trPr>
        <w:tc>
          <w:tcPr>
            <w:tcW w:w="6382" w:type="dxa"/>
            <w:shd w:val="clear" w:color="auto" w:fill="FFFFFF"/>
            <w:tcMar>
              <w:top w:w="0" w:type="dxa"/>
              <w:bottom w:w="0" w:type="dxa"/>
            </w:tcMar>
            <w:vAlign w:val="bottom"/>
          </w:tcPr>
          <w:p w:rsidR="00BF04EA" w:rsidRDefault="00222A5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Intangible fixed assets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2,593,607,407</w:t>
            </w:r>
          </w:p>
        </w:tc>
      </w:tr>
      <w:tr w:rsidR="00BF04EA">
        <w:trPr>
          <w:trHeight w:val="336"/>
        </w:trPr>
        <w:tc>
          <w:tcPr>
            <w:tcW w:w="6382" w:type="dxa"/>
            <w:shd w:val="clear" w:color="auto" w:fill="FFFFFF"/>
            <w:tcMar>
              <w:top w:w="0" w:type="dxa"/>
              <w:bottom w:w="0" w:type="dxa"/>
            </w:tcMar>
            <w:vAlign w:val="bottom"/>
          </w:tcPr>
          <w:p w:rsidR="00BF04EA" w:rsidRDefault="00222A5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Historical cost</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2,593,607,407</w:t>
            </w:r>
          </w:p>
        </w:tc>
      </w:tr>
      <w:tr w:rsidR="00BF04EA">
        <w:trPr>
          <w:trHeight w:val="355"/>
        </w:trPr>
        <w:tc>
          <w:tcPr>
            <w:tcW w:w="6382" w:type="dxa"/>
            <w:shd w:val="clear" w:color="auto" w:fill="FFFFFF"/>
            <w:tcMar>
              <w:top w:w="0" w:type="dxa"/>
              <w:bottom w:w="0" w:type="dxa"/>
            </w:tcMar>
            <w:vAlign w:val="bottom"/>
          </w:tcPr>
          <w:p w:rsidR="00BF04EA" w:rsidRDefault="00222A56">
            <w:pPr>
              <w:numPr>
                <w:ilvl w:val="0"/>
                <w:numId w:val="7"/>
              </w:numPr>
              <w:pBdr>
                <w:top w:val="nil"/>
                <w:left w:val="nil"/>
                <w:bottom w:val="nil"/>
                <w:right w:val="nil"/>
                <w:between w:val="nil"/>
              </w:pBdr>
              <w:tabs>
                <w:tab w:val="left" w:pos="432"/>
                <w:tab w:val="left" w:pos="4507"/>
              </w:tabs>
              <w:spacing w:after="120" w:line="360" w:lineRule="auto"/>
              <w:ind w:left="0" w:firstLine="0"/>
              <w:rPr>
                <w:rFonts w:ascii="Arial" w:eastAsia="Arial" w:hAnsi="Arial" w:cs="Arial"/>
                <w:sz w:val="20"/>
                <w:szCs w:val="20"/>
              </w:rPr>
            </w:pPr>
            <w:r>
              <w:rPr>
                <w:rFonts w:ascii="Arial" w:hAnsi="Arial"/>
                <w:sz w:val="20"/>
              </w:rPr>
              <w:t>Accumulated amortization</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0</w:t>
            </w:r>
          </w:p>
        </w:tc>
      </w:tr>
      <w:tr w:rsidR="00BF04EA">
        <w:trPr>
          <w:trHeight w:val="322"/>
        </w:trPr>
        <w:tc>
          <w:tcPr>
            <w:tcW w:w="6382" w:type="dxa"/>
            <w:shd w:val="clear" w:color="auto" w:fill="FFFFFF"/>
            <w:tcMar>
              <w:top w:w="0" w:type="dxa"/>
              <w:bottom w:w="0" w:type="dxa"/>
            </w:tcMar>
            <w:vAlign w:val="bottom"/>
          </w:tcPr>
          <w:p w:rsidR="00BF04EA" w:rsidRDefault="00222A56">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Long-term financial investment</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42,000,000</w:t>
            </w:r>
          </w:p>
        </w:tc>
      </w:tr>
      <w:tr w:rsidR="00BF04EA">
        <w:trPr>
          <w:trHeight w:val="317"/>
        </w:trPr>
        <w:tc>
          <w:tcPr>
            <w:tcW w:w="6382" w:type="dxa"/>
            <w:shd w:val="clear" w:color="auto" w:fill="FFFFFF"/>
            <w:tcMar>
              <w:top w:w="0" w:type="dxa"/>
              <w:bottom w:w="0" w:type="dxa"/>
            </w:tcMar>
            <w:vAlign w:val="bottom"/>
          </w:tcPr>
          <w:p w:rsidR="00BF04EA" w:rsidRDefault="00222A5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Investments in other entities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189,500,000</w:t>
            </w:r>
          </w:p>
        </w:tc>
      </w:tr>
      <w:tr w:rsidR="00BF04EA">
        <w:trPr>
          <w:trHeight w:val="326"/>
        </w:trPr>
        <w:tc>
          <w:tcPr>
            <w:tcW w:w="6382" w:type="dxa"/>
            <w:shd w:val="clear" w:color="auto" w:fill="FFFFFF"/>
            <w:tcMar>
              <w:top w:w="0" w:type="dxa"/>
              <w:bottom w:w="0" w:type="dxa"/>
            </w:tcMar>
            <w:vAlign w:val="bottom"/>
          </w:tcPr>
          <w:p w:rsidR="00BF04EA" w:rsidRDefault="00222A5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Provision for long-term financial investments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-147,500,000</w:t>
            </w:r>
          </w:p>
        </w:tc>
      </w:tr>
      <w:tr w:rsidR="00BF04EA">
        <w:trPr>
          <w:trHeight w:val="326"/>
        </w:trPr>
        <w:tc>
          <w:tcPr>
            <w:tcW w:w="6382" w:type="dxa"/>
            <w:shd w:val="clear" w:color="auto" w:fill="FFFFFF"/>
            <w:tcMar>
              <w:top w:w="0" w:type="dxa"/>
              <w:bottom w:w="0" w:type="dxa"/>
            </w:tcMar>
            <w:vAlign w:val="bottom"/>
          </w:tcPr>
          <w:p w:rsidR="00BF04EA" w:rsidRDefault="00222A56">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long-term assets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29,448,863</w:t>
            </w:r>
          </w:p>
        </w:tc>
      </w:tr>
      <w:tr w:rsidR="00BF04EA">
        <w:trPr>
          <w:trHeight w:val="326"/>
        </w:trPr>
        <w:tc>
          <w:tcPr>
            <w:tcW w:w="6382" w:type="dxa"/>
            <w:shd w:val="clear" w:color="auto" w:fill="FFFFFF"/>
            <w:tcMar>
              <w:top w:w="0" w:type="dxa"/>
              <w:bottom w:w="0" w:type="dxa"/>
            </w:tcMar>
            <w:vAlign w:val="bottom"/>
          </w:tcPr>
          <w:p w:rsidR="00BF04EA" w:rsidRDefault="00222A5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Long-term prepaid expense</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29,448,863</w:t>
            </w:r>
          </w:p>
        </w:tc>
      </w:tr>
      <w:tr w:rsidR="00BF04EA">
        <w:trPr>
          <w:trHeight w:val="322"/>
        </w:trPr>
        <w:tc>
          <w:tcPr>
            <w:tcW w:w="6382" w:type="dxa"/>
            <w:shd w:val="clear" w:color="auto" w:fill="FFFFFF"/>
            <w:tcMar>
              <w:top w:w="0" w:type="dxa"/>
              <w:bottom w:w="0" w:type="dxa"/>
            </w:tcMar>
            <w:vAlign w:val="bottom"/>
          </w:tcPr>
          <w:p w:rsidR="00BF04EA" w:rsidRDefault="00222A5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Payables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15,240,494,484</w:t>
            </w:r>
          </w:p>
        </w:tc>
      </w:tr>
      <w:tr w:rsidR="00BF04EA">
        <w:trPr>
          <w:trHeight w:val="322"/>
        </w:trPr>
        <w:tc>
          <w:tcPr>
            <w:tcW w:w="6382" w:type="dxa"/>
            <w:shd w:val="clear" w:color="auto" w:fill="FFFFFF"/>
            <w:tcMar>
              <w:top w:w="0" w:type="dxa"/>
              <w:bottom w:w="0" w:type="dxa"/>
            </w:tcMar>
            <w:vAlign w:val="bottom"/>
          </w:tcPr>
          <w:p w:rsidR="00BF04EA" w:rsidRDefault="00222A5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Short-term payables</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15,240,494,484</w:t>
            </w:r>
          </w:p>
        </w:tc>
      </w:tr>
      <w:tr w:rsidR="00BF04EA">
        <w:trPr>
          <w:trHeight w:val="322"/>
        </w:trPr>
        <w:tc>
          <w:tcPr>
            <w:tcW w:w="6382" w:type="dxa"/>
            <w:shd w:val="clear" w:color="auto" w:fill="FFFFFF"/>
            <w:tcMar>
              <w:top w:w="0" w:type="dxa"/>
              <w:bottom w:w="0" w:type="dxa"/>
            </w:tcMar>
            <w:vAlign w:val="bottom"/>
          </w:tcPr>
          <w:p w:rsidR="00BF04EA" w:rsidRDefault="00222A5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Long-term debt</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0</w:t>
            </w:r>
          </w:p>
        </w:tc>
      </w:tr>
      <w:tr w:rsidR="00BF04EA">
        <w:trPr>
          <w:trHeight w:val="326"/>
        </w:trPr>
        <w:tc>
          <w:tcPr>
            <w:tcW w:w="6382" w:type="dxa"/>
            <w:shd w:val="clear" w:color="auto" w:fill="FFFFFF"/>
            <w:tcMar>
              <w:top w:w="0" w:type="dxa"/>
              <w:bottom w:w="0" w:type="dxa"/>
            </w:tcMar>
            <w:vAlign w:val="bottom"/>
          </w:tcPr>
          <w:p w:rsidR="00BF04EA" w:rsidRDefault="00222A5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Owners’ equity</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9,823,974,411</w:t>
            </w:r>
          </w:p>
        </w:tc>
      </w:tr>
      <w:tr w:rsidR="00BF04EA">
        <w:trPr>
          <w:trHeight w:val="326"/>
        </w:trPr>
        <w:tc>
          <w:tcPr>
            <w:tcW w:w="6382" w:type="dxa"/>
            <w:shd w:val="clear" w:color="auto" w:fill="FFFFFF"/>
            <w:tcMar>
              <w:top w:w="0" w:type="dxa"/>
              <w:bottom w:w="0" w:type="dxa"/>
            </w:tcMar>
            <w:vAlign w:val="bottom"/>
          </w:tcPr>
          <w:p w:rsidR="00BF04EA" w:rsidRDefault="00222A5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Contributed capital of owner</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12,122,000,000</w:t>
            </w:r>
          </w:p>
        </w:tc>
      </w:tr>
      <w:tr w:rsidR="00BF04EA">
        <w:trPr>
          <w:trHeight w:val="317"/>
        </w:trPr>
        <w:tc>
          <w:tcPr>
            <w:tcW w:w="6382" w:type="dxa"/>
            <w:shd w:val="clear" w:color="auto" w:fill="FFFFFF"/>
            <w:tcMar>
              <w:top w:w="0" w:type="dxa"/>
              <w:bottom w:w="0" w:type="dxa"/>
            </w:tcMar>
            <w:vAlign w:val="bottom"/>
          </w:tcPr>
          <w:p w:rsidR="00BF04EA" w:rsidRDefault="00222A5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Share premium:</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832,844,308</w:t>
            </w:r>
          </w:p>
        </w:tc>
      </w:tr>
      <w:tr w:rsidR="00BF04EA">
        <w:trPr>
          <w:trHeight w:val="317"/>
        </w:trPr>
        <w:tc>
          <w:tcPr>
            <w:tcW w:w="6382" w:type="dxa"/>
            <w:shd w:val="clear" w:color="auto" w:fill="FFFFFF"/>
            <w:tcMar>
              <w:top w:w="0" w:type="dxa"/>
              <w:bottom w:w="0" w:type="dxa"/>
            </w:tcMar>
            <w:vAlign w:val="bottom"/>
          </w:tcPr>
          <w:p w:rsidR="00BF04EA" w:rsidRDefault="00222A5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Investment and development fund.</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5,071,456,502</w:t>
            </w:r>
          </w:p>
        </w:tc>
      </w:tr>
      <w:tr w:rsidR="00BF04EA">
        <w:trPr>
          <w:trHeight w:val="336"/>
        </w:trPr>
        <w:tc>
          <w:tcPr>
            <w:tcW w:w="6382" w:type="dxa"/>
            <w:shd w:val="clear" w:color="auto" w:fill="FFFFFF"/>
            <w:tcMar>
              <w:top w:w="0" w:type="dxa"/>
              <w:bottom w:w="0" w:type="dxa"/>
            </w:tcMar>
            <w:vAlign w:val="bottom"/>
          </w:tcPr>
          <w:p w:rsidR="00BF04EA" w:rsidRDefault="00222A5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Undistributed profit:</w:t>
            </w:r>
          </w:p>
        </w:tc>
        <w:tc>
          <w:tcPr>
            <w:tcW w:w="2637" w:type="dxa"/>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-8,202,326,399</w:t>
            </w:r>
          </w:p>
        </w:tc>
      </w:tr>
    </w:tbl>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Business result:</w:t>
      </w:r>
    </w:p>
    <w:tbl>
      <w:tblPr>
        <w:tblStyle w:val="a0"/>
        <w:tblW w:w="9019" w:type="dxa"/>
        <w:tblLayout w:type="fixed"/>
        <w:tblLook w:val="0400" w:firstRow="0" w:lastRow="0" w:firstColumn="0" w:lastColumn="0" w:noHBand="0" w:noVBand="1"/>
      </w:tblPr>
      <w:tblGrid>
        <w:gridCol w:w="5437"/>
        <w:gridCol w:w="3582"/>
      </w:tblGrid>
      <w:tr w:rsidR="00BF04EA">
        <w:trPr>
          <w:trHeight w:val="346"/>
        </w:trPr>
        <w:tc>
          <w:tcPr>
            <w:tcW w:w="5437" w:type="dxa"/>
            <w:tcBorders>
              <w:top w:val="single" w:sz="4" w:space="0" w:color="000000"/>
              <w:left w:val="single" w:sz="4" w:space="0" w:color="000000"/>
            </w:tcBorders>
            <w:shd w:val="clear" w:color="auto" w:fill="FFFFFF"/>
            <w:tcMar>
              <w:top w:w="0" w:type="dxa"/>
              <w:bottom w:w="0" w:type="dxa"/>
            </w:tcMar>
            <w:vAlign w:val="bottom"/>
          </w:tcPr>
          <w:p w:rsidR="00BF04EA" w:rsidRDefault="00222A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Total revenue and other income:</w:t>
            </w:r>
          </w:p>
        </w:tc>
        <w:tc>
          <w:tcPr>
            <w:tcW w:w="35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0</w:t>
            </w:r>
          </w:p>
        </w:tc>
      </w:tr>
      <w:tr w:rsidR="00BF04EA">
        <w:trPr>
          <w:trHeight w:val="322"/>
        </w:trPr>
        <w:tc>
          <w:tcPr>
            <w:tcW w:w="5437" w:type="dxa"/>
            <w:tcBorders>
              <w:top w:val="single" w:sz="4" w:space="0" w:color="000000"/>
              <w:left w:val="single" w:sz="4" w:space="0" w:color="000000"/>
            </w:tcBorders>
            <w:shd w:val="clear" w:color="auto" w:fill="FFFFFF"/>
            <w:tcMar>
              <w:top w:w="0" w:type="dxa"/>
              <w:bottom w:w="0" w:type="dxa"/>
            </w:tcMar>
            <w:vAlign w:val="bottom"/>
          </w:tcPr>
          <w:p w:rsidR="00BF04EA" w:rsidRDefault="00222A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Total expenses</w:t>
            </w:r>
          </w:p>
        </w:tc>
        <w:tc>
          <w:tcPr>
            <w:tcW w:w="35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577,472,439</w:t>
            </w:r>
          </w:p>
        </w:tc>
      </w:tr>
      <w:tr w:rsidR="00BF04EA">
        <w:trPr>
          <w:trHeight w:val="322"/>
        </w:trPr>
        <w:tc>
          <w:tcPr>
            <w:tcW w:w="5437" w:type="dxa"/>
            <w:tcBorders>
              <w:top w:val="single" w:sz="4" w:space="0" w:color="000000"/>
              <w:left w:val="single" w:sz="4" w:space="0" w:color="000000"/>
            </w:tcBorders>
            <w:shd w:val="clear" w:color="auto" w:fill="FFFFFF"/>
            <w:tcMar>
              <w:top w:w="0" w:type="dxa"/>
              <w:bottom w:w="0" w:type="dxa"/>
            </w:tcMar>
            <w:vAlign w:val="bottom"/>
          </w:tcPr>
          <w:p w:rsidR="00BF04EA" w:rsidRDefault="00222A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Total profit after tax:</w:t>
            </w:r>
          </w:p>
        </w:tc>
        <w:tc>
          <w:tcPr>
            <w:tcW w:w="35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-577,472,439</w:t>
            </w:r>
          </w:p>
        </w:tc>
      </w:tr>
      <w:tr w:rsidR="00BF04EA">
        <w:trPr>
          <w:trHeight w:val="346"/>
        </w:trPr>
        <w:tc>
          <w:tcPr>
            <w:tcW w:w="5437" w:type="dxa"/>
            <w:tcBorders>
              <w:top w:val="single" w:sz="4" w:space="0" w:color="000000"/>
              <w:left w:val="single" w:sz="4" w:space="0" w:color="000000"/>
              <w:bottom w:val="single" w:sz="4" w:space="0" w:color="000000"/>
            </w:tcBorders>
            <w:shd w:val="clear" w:color="auto" w:fill="FFFFFF"/>
            <w:tcMar>
              <w:top w:w="0" w:type="dxa"/>
              <w:bottom w:w="0" w:type="dxa"/>
            </w:tcMar>
          </w:tcPr>
          <w:p w:rsidR="00BF04EA" w:rsidRDefault="00222A5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Dividends</w:t>
            </w:r>
          </w:p>
        </w:tc>
        <w:tc>
          <w:tcPr>
            <w:tcW w:w="358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BF04EA" w:rsidRDefault="00222A56" w:rsidP="00146202">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0</w:t>
            </w:r>
          </w:p>
        </w:tc>
      </w:tr>
    </w:tbl>
    <w:p w:rsidR="00BF04EA" w:rsidRDefault="00222A56">
      <w:pPr>
        <w:numPr>
          <w:ilvl w:val="0"/>
          <w:numId w:val="1"/>
        </w:numPr>
        <w:pBdr>
          <w:top w:val="nil"/>
          <w:left w:val="nil"/>
          <w:bottom w:val="nil"/>
          <w:right w:val="nil"/>
          <w:between w:val="nil"/>
        </w:pBdr>
        <w:tabs>
          <w:tab w:val="left" w:pos="432"/>
          <w:tab w:val="left" w:pos="9078"/>
        </w:tabs>
        <w:spacing w:after="120" w:line="360" w:lineRule="auto"/>
        <w:ind w:left="0" w:firstLine="0"/>
        <w:rPr>
          <w:rFonts w:ascii="Arial" w:eastAsia="Arial" w:hAnsi="Arial" w:cs="Arial"/>
          <w:sz w:val="20"/>
          <w:szCs w:val="20"/>
        </w:rPr>
      </w:pPr>
      <w:r>
        <w:rPr>
          <w:rFonts w:ascii="Arial" w:hAnsi="Arial"/>
          <w:sz w:val="20"/>
        </w:rPr>
        <w:t>Approve the production and business results in 2023 and the production and business plan for 2024:</w:t>
      </w:r>
    </w:p>
    <w:p w:rsidR="00BF04EA" w:rsidRDefault="00222A56">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Approve the results of production and business activities in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3528"/>
        <w:gridCol w:w="1149"/>
        <w:gridCol w:w="1115"/>
        <w:gridCol w:w="1290"/>
        <w:gridCol w:w="1344"/>
      </w:tblGrid>
      <w:tr w:rsidR="00BF04EA" w:rsidTr="00222A56">
        <w:trPr>
          <w:trHeight w:val="355"/>
        </w:trPr>
        <w:tc>
          <w:tcPr>
            <w:tcW w:w="593" w:type="dxa"/>
            <w:vMerge w:val="restart"/>
            <w:shd w:val="clear" w:color="auto" w:fill="FFFFFF"/>
            <w:tcMar>
              <w:top w:w="0" w:type="dxa"/>
              <w:bottom w:w="0" w:type="dxa"/>
            </w:tcMar>
            <w:vAlign w:val="cente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3528" w:type="dxa"/>
            <w:vMerge w:val="restart"/>
            <w:shd w:val="clear" w:color="auto" w:fill="FFFFFF"/>
            <w:tcMar>
              <w:top w:w="0" w:type="dxa"/>
              <w:bottom w:w="0" w:type="dxa"/>
            </w:tcMar>
            <w:vAlign w:val="cente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149" w:type="dxa"/>
            <w:vMerge w:val="restart"/>
            <w:shd w:val="clear" w:color="auto" w:fill="FFFFFF"/>
            <w:tcMar>
              <w:top w:w="0" w:type="dxa"/>
              <w:bottom w:w="0" w:type="dxa"/>
            </w:tcMar>
            <w:vAlign w:val="cente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Unit</w:t>
            </w:r>
          </w:p>
        </w:tc>
        <w:tc>
          <w:tcPr>
            <w:tcW w:w="3749" w:type="dxa"/>
            <w:gridSpan w:val="3"/>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 2023</w:t>
            </w:r>
          </w:p>
        </w:tc>
      </w:tr>
      <w:tr w:rsidR="00BF04EA" w:rsidTr="00222A56">
        <w:trPr>
          <w:trHeight w:val="542"/>
        </w:trPr>
        <w:tc>
          <w:tcPr>
            <w:tcW w:w="593" w:type="dxa"/>
            <w:vMerge/>
            <w:shd w:val="clear" w:color="auto" w:fill="FFFFFF"/>
            <w:tcMar>
              <w:top w:w="0" w:type="dxa"/>
              <w:bottom w:w="0" w:type="dxa"/>
            </w:tcMar>
            <w:vAlign w:val="center"/>
          </w:tcPr>
          <w:p w:rsidR="00BF04EA" w:rsidRDefault="00BF04EA">
            <w:pPr>
              <w:pBdr>
                <w:top w:val="nil"/>
                <w:left w:val="nil"/>
                <w:bottom w:val="nil"/>
                <w:right w:val="nil"/>
                <w:between w:val="nil"/>
              </w:pBdr>
              <w:spacing w:line="276" w:lineRule="auto"/>
              <w:rPr>
                <w:rFonts w:ascii="Arial" w:eastAsia="Arial" w:hAnsi="Arial" w:cs="Arial"/>
                <w:sz w:val="20"/>
                <w:szCs w:val="20"/>
              </w:rPr>
            </w:pPr>
          </w:p>
        </w:tc>
        <w:tc>
          <w:tcPr>
            <w:tcW w:w="3528" w:type="dxa"/>
            <w:vMerge/>
            <w:shd w:val="clear" w:color="auto" w:fill="FFFFFF"/>
            <w:tcMar>
              <w:top w:w="0" w:type="dxa"/>
              <w:bottom w:w="0" w:type="dxa"/>
            </w:tcMar>
            <w:vAlign w:val="center"/>
          </w:tcPr>
          <w:p w:rsidR="00BF04EA" w:rsidRDefault="00BF04EA">
            <w:pPr>
              <w:pBdr>
                <w:top w:val="nil"/>
                <w:left w:val="nil"/>
                <w:bottom w:val="nil"/>
                <w:right w:val="nil"/>
                <w:between w:val="nil"/>
              </w:pBdr>
              <w:spacing w:line="276" w:lineRule="auto"/>
              <w:rPr>
                <w:rFonts w:ascii="Arial" w:eastAsia="Arial" w:hAnsi="Arial" w:cs="Arial"/>
                <w:sz w:val="20"/>
                <w:szCs w:val="20"/>
              </w:rPr>
            </w:pPr>
          </w:p>
        </w:tc>
        <w:tc>
          <w:tcPr>
            <w:tcW w:w="1149" w:type="dxa"/>
            <w:vMerge/>
            <w:shd w:val="clear" w:color="auto" w:fill="FFFFFF"/>
            <w:tcMar>
              <w:top w:w="0" w:type="dxa"/>
              <w:bottom w:w="0" w:type="dxa"/>
            </w:tcMar>
            <w:vAlign w:val="center"/>
          </w:tcPr>
          <w:p w:rsidR="00BF04EA" w:rsidRDefault="00BF04EA">
            <w:pPr>
              <w:pBdr>
                <w:top w:val="nil"/>
                <w:left w:val="nil"/>
                <w:bottom w:val="nil"/>
                <w:right w:val="nil"/>
                <w:between w:val="nil"/>
              </w:pBdr>
              <w:spacing w:line="276" w:lineRule="auto"/>
              <w:rPr>
                <w:rFonts w:ascii="Arial" w:eastAsia="Arial" w:hAnsi="Arial" w:cs="Arial"/>
                <w:sz w:val="20"/>
                <w:szCs w:val="20"/>
              </w:rPr>
            </w:pPr>
          </w:p>
        </w:tc>
        <w:tc>
          <w:tcPr>
            <w:tcW w:w="1115"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w:t>
            </w:r>
          </w:p>
        </w:tc>
        <w:tc>
          <w:tcPr>
            <w:tcW w:w="1290"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Result</w:t>
            </w:r>
          </w:p>
        </w:tc>
        <w:tc>
          <w:tcPr>
            <w:tcW w:w="1344"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Percentage of Result/Plan</w:t>
            </w:r>
          </w:p>
        </w:tc>
      </w:tr>
      <w:tr w:rsidR="00BF04EA" w:rsidTr="00222A56">
        <w:trPr>
          <w:trHeight w:val="283"/>
        </w:trPr>
        <w:tc>
          <w:tcPr>
            <w:tcW w:w="593"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w:t>
            </w:r>
          </w:p>
        </w:tc>
        <w:tc>
          <w:tcPr>
            <w:tcW w:w="3528"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production and business value</w:t>
            </w:r>
          </w:p>
        </w:tc>
        <w:tc>
          <w:tcPr>
            <w:tcW w:w="1149"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1,000,000</w:t>
            </w:r>
          </w:p>
        </w:tc>
        <w:tc>
          <w:tcPr>
            <w:tcW w:w="1115" w:type="dxa"/>
            <w:shd w:val="clear" w:color="auto" w:fill="FFFFFF"/>
            <w:tcMar>
              <w:top w:w="0" w:type="dxa"/>
              <w:bottom w:w="0" w:type="dxa"/>
            </w:tcMar>
          </w:tcPr>
          <w:p w:rsidR="00BF04EA" w:rsidRDefault="00BF04EA" w:rsidP="00222A56">
            <w:pPr>
              <w:tabs>
                <w:tab w:val="left" w:pos="432"/>
              </w:tabs>
              <w:spacing w:after="120" w:line="360" w:lineRule="auto"/>
              <w:jc w:val="right"/>
              <w:rPr>
                <w:rFonts w:ascii="Arial" w:eastAsia="Arial" w:hAnsi="Arial" w:cs="Arial"/>
                <w:sz w:val="20"/>
                <w:szCs w:val="20"/>
              </w:rPr>
            </w:pPr>
          </w:p>
        </w:tc>
        <w:tc>
          <w:tcPr>
            <w:tcW w:w="1290" w:type="dxa"/>
            <w:shd w:val="clear" w:color="auto" w:fill="FFFFFF"/>
            <w:tcMar>
              <w:top w:w="0" w:type="dxa"/>
              <w:bottom w:w="0" w:type="dxa"/>
            </w:tcMar>
          </w:tcPr>
          <w:p w:rsidR="00BF04EA" w:rsidRDefault="00BF04EA" w:rsidP="00222A56">
            <w:pPr>
              <w:tabs>
                <w:tab w:val="left" w:pos="432"/>
              </w:tabs>
              <w:spacing w:after="120" w:line="360" w:lineRule="auto"/>
              <w:jc w:val="right"/>
              <w:rPr>
                <w:rFonts w:ascii="Arial" w:eastAsia="Arial" w:hAnsi="Arial" w:cs="Arial"/>
                <w:sz w:val="20"/>
                <w:szCs w:val="20"/>
              </w:rPr>
            </w:pPr>
          </w:p>
        </w:tc>
        <w:tc>
          <w:tcPr>
            <w:tcW w:w="1344" w:type="dxa"/>
            <w:shd w:val="clear" w:color="auto" w:fill="FFFFFF"/>
            <w:tcMar>
              <w:top w:w="0" w:type="dxa"/>
              <w:bottom w:w="0" w:type="dxa"/>
            </w:tcMar>
          </w:tcPr>
          <w:p w:rsidR="00BF04EA" w:rsidRDefault="00BF04EA" w:rsidP="00222A56">
            <w:pPr>
              <w:tabs>
                <w:tab w:val="left" w:pos="432"/>
              </w:tabs>
              <w:spacing w:after="120" w:line="360" w:lineRule="auto"/>
              <w:jc w:val="right"/>
              <w:rPr>
                <w:rFonts w:ascii="Arial" w:eastAsia="Arial" w:hAnsi="Arial" w:cs="Arial"/>
                <w:sz w:val="20"/>
                <w:szCs w:val="20"/>
              </w:rPr>
            </w:pPr>
          </w:p>
        </w:tc>
      </w:tr>
      <w:tr w:rsidR="00BF04EA" w:rsidTr="00222A56">
        <w:trPr>
          <w:trHeight w:val="274"/>
        </w:trPr>
        <w:tc>
          <w:tcPr>
            <w:tcW w:w="593"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3528"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Production and business value</w:t>
            </w:r>
          </w:p>
        </w:tc>
        <w:tc>
          <w:tcPr>
            <w:tcW w:w="1149"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1,000,000</w:t>
            </w:r>
          </w:p>
        </w:tc>
        <w:tc>
          <w:tcPr>
            <w:tcW w:w="1115" w:type="dxa"/>
            <w:shd w:val="clear" w:color="auto" w:fill="FFFFFF"/>
            <w:tcMar>
              <w:top w:w="0" w:type="dxa"/>
              <w:bottom w:w="0" w:type="dxa"/>
            </w:tcMar>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9,200</w:t>
            </w:r>
          </w:p>
        </w:tc>
        <w:tc>
          <w:tcPr>
            <w:tcW w:w="1290" w:type="dxa"/>
            <w:shd w:val="clear" w:color="auto" w:fill="FFFFFF"/>
            <w:tcMar>
              <w:top w:w="0" w:type="dxa"/>
              <w:bottom w:w="0" w:type="dxa"/>
            </w:tcMar>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0</w:t>
            </w:r>
          </w:p>
        </w:tc>
        <w:tc>
          <w:tcPr>
            <w:tcW w:w="1344" w:type="dxa"/>
            <w:shd w:val="clear" w:color="auto" w:fill="FFFFFF"/>
            <w:tcMar>
              <w:top w:w="0" w:type="dxa"/>
              <w:bottom w:w="0" w:type="dxa"/>
            </w:tcMar>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0%</w:t>
            </w:r>
          </w:p>
        </w:tc>
      </w:tr>
      <w:tr w:rsidR="00BF04EA" w:rsidTr="00222A56">
        <w:trPr>
          <w:trHeight w:val="278"/>
        </w:trPr>
        <w:tc>
          <w:tcPr>
            <w:tcW w:w="593"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3528"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Revenue</w:t>
            </w:r>
          </w:p>
        </w:tc>
        <w:tc>
          <w:tcPr>
            <w:tcW w:w="1149"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1,000,000</w:t>
            </w:r>
          </w:p>
        </w:tc>
        <w:tc>
          <w:tcPr>
            <w:tcW w:w="1115" w:type="dxa"/>
            <w:shd w:val="clear" w:color="auto" w:fill="FFFFFF"/>
            <w:tcMar>
              <w:top w:w="0" w:type="dxa"/>
              <w:bottom w:w="0" w:type="dxa"/>
            </w:tcMar>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6,500</w:t>
            </w:r>
          </w:p>
        </w:tc>
        <w:tc>
          <w:tcPr>
            <w:tcW w:w="1290" w:type="dxa"/>
            <w:shd w:val="clear" w:color="auto" w:fill="FFFFFF"/>
            <w:tcMar>
              <w:top w:w="0" w:type="dxa"/>
              <w:bottom w:w="0" w:type="dxa"/>
            </w:tcMar>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0</w:t>
            </w:r>
          </w:p>
        </w:tc>
        <w:tc>
          <w:tcPr>
            <w:tcW w:w="1344" w:type="dxa"/>
            <w:shd w:val="clear" w:color="auto" w:fill="FFFFFF"/>
            <w:tcMar>
              <w:top w:w="0" w:type="dxa"/>
              <w:bottom w:w="0" w:type="dxa"/>
            </w:tcMar>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0%</w:t>
            </w:r>
          </w:p>
        </w:tc>
      </w:tr>
      <w:tr w:rsidR="00BF04EA" w:rsidTr="00222A56">
        <w:trPr>
          <w:trHeight w:val="278"/>
        </w:trPr>
        <w:tc>
          <w:tcPr>
            <w:tcW w:w="59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3528"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Transferred amount into bank account</w:t>
            </w:r>
          </w:p>
        </w:tc>
        <w:tc>
          <w:tcPr>
            <w:tcW w:w="1149"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1,000,000</w:t>
            </w:r>
          </w:p>
        </w:tc>
        <w:tc>
          <w:tcPr>
            <w:tcW w:w="1115"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4,500</w:t>
            </w:r>
          </w:p>
        </w:tc>
        <w:tc>
          <w:tcPr>
            <w:tcW w:w="1290"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2,000</w:t>
            </w:r>
          </w:p>
        </w:tc>
        <w:tc>
          <w:tcPr>
            <w:tcW w:w="1344"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44.44%</w:t>
            </w:r>
          </w:p>
        </w:tc>
      </w:tr>
      <w:tr w:rsidR="00BF04EA" w:rsidTr="00222A56">
        <w:trPr>
          <w:trHeight w:val="283"/>
        </w:trPr>
        <w:tc>
          <w:tcPr>
            <w:tcW w:w="59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3528"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Payable to state budget:</w:t>
            </w:r>
          </w:p>
        </w:tc>
        <w:tc>
          <w:tcPr>
            <w:tcW w:w="1149"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1,000,000</w:t>
            </w:r>
          </w:p>
        </w:tc>
        <w:tc>
          <w:tcPr>
            <w:tcW w:w="1115"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1,000</w:t>
            </w:r>
          </w:p>
        </w:tc>
        <w:tc>
          <w:tcPr>
            <w:tcW w:w="1290"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45</w:t>
            </w:r>
          </w:p>
        </w:tc>
        <w:tc>
          <w:tcPr>
            <w:tcW w:w="1344"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4.5%</w:t>
            </w:r>
          </w:p>
        </w:tc>
      </w:tr>
      <w:tr w:rsidR="00BF04EA" w:rsidTr="00222A56">
        <w:trPr>
          <w:trHeight w:val="288"/>
        </w:trPr>
        <w:tc>
          <w:tcPr>
            <w:tcW w:w="593"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3528"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Employees and salary</w:t>
            </w:r>
          </w:p>
        </w:tc>
        <w:tc>
          <w:tcPr>
            <w:tcW w:w="1149"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c>
          <w:tcPr>
            <w:tcW w:w="1115" w:type="dxa"/>
            <w:shd w:val="clear" w:color="auto" w:fill="FFFFFF"/>
            <w:tcMar>
              <w:top w:w="0" w:type="dxa"/>
              <w:bottom w:w="0" w:type="dxa"/>
            </w:tcMar>
          </w:tcPr>
          <w:p w:rsidR="00BF04EA" w:rsidRDefault="00BF04EA" w:rsidP="00222A56">
            <w:pPr>
              <w:tabs>
                <w:tab w:val="left" w:pos="432"/>
              </w:tabs>
              <w:spacing w:after="120" w:line="360" w:lineRule="auto"/>
              <w:jc w:val="right"/>
              <w:rPr>
                <w:rFonts w:ascii="Arial" w:eastAsia="Arial" w:hAnsi="Arial" w:cs="Arial"/>
                <w:sz w:val="20"/>
                <w:szCs w:val="20"/>
              </w:rPr>
            </w:pPr>
          </w:p>
        </w:tc>
        <w:tc>
          <w:tcPr>
            <w:tcW w:w="1290" w:type="dxa"/>
            <w:shd w:val="clear" w:color="auto" w:fill="FFFFFF"/>
            <w:tcMar>
              <w:top w:w="0" w:type="dxa"/>
              <w:bottom w:w="0" w:type="dxa"/>
            </w:tcMar>
          </w:tcPr>
          <w:p w:rsidR="00BF04EA" w:rsidRDefault="00BF04EA" w:rsidP="00222A56">
            <w:pPr>
              <w:tabs>
                <w:tab w:val="left" w:pos="432"/>
              </w:tabs>
              <w:spacing w:after="120" w:line="360" w:lineRule="auto"/>
              <w:jc w:val="right"/>
              <w:rPr>
                <w:rFonts w:ascii="Arial" w:eastAsia="Arial" w:hAnsi="Arial" w:cs="Arial"/>
                <w:sz w:val="20"/>
                <w:szCs w:val="20"/>
              </w:rPr>
            </w:pPr>
          </w:p>
        </w:tc>
        <w:tc>
          <w:tcPr>
            <w:tcW w:w="1344" w:type="dxa"/>
            <w:shd w:val="clear" w:color="auto" w:fill="FFFFFF"/>
            <w:tcMar>
              <w:top w:w="0" w:type="dxa"/>
              <w:bottom w:w="0" w:type="dxa"/>
            </w:tcMar>
          </w:tcPr>
          <w:p w:rsidR="00BF04EA" w:rsidRDefault="00BF04EA" w:rsidP="00222A56">
            <w:pPr>
              <w:tabs>
                <w:tab w:val="left" w:pos="432"/>
              </w:tabs>
              <w:spacing w:after="120" w:line="360" w:lineRule="auto"/>
              <w:jc w:val="right"/>
              <w:rPr>
                <w:rFonts w:ascii="Arial" w:eastAsia="Arial" w:hAnsi="Arial" w:cs="Arial"/>
                <w:sz w:val="20"/>
                <w:szCs w:val="20"/>
              </w:rPr>
            </w:pPr>
          </w:p>
        </w:tc>
      </w:tr>
      <w:tr w:rsidR="00BF04EA" w:rsidTr="00222A56">
        <w:trPr>
          <w:trHeight w:val="298"/>
        </w:trPr>
        <w:tc>
          <w:tcPr>
            <w:tcW w:w="59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5.1</w:t>
            </w:r>
          </w:p>
        </w:tc>
        <w:tc>
          <w:tcPr>
            <w:tcW w:w="3528"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employees</w:t>
            </w:r>
          </w:p>
        </w:tc>
        <w:tc>
          <w:tcPr>
            <w:tcW w:w="1149"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Employee</w:t>
            </w:r>
          </w:p>
        </w:tc>
        <w:tc>
          <w:tcPr>
            <w:tcW w:w="1115"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18</w:t>
            </w:r>
          </w:p>
        </w:tc>
        <w:tc>
          <w:tcPr>
            <w:tcW w:w="1290"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15</w:t>
            </w:r>
          </w:p>
        </w:tc>
        <w:tc>
          <w:tcPr>
            <w:tcW w:w="1344"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83.33%</w:t>
            </w:r>
          </w:p>
        </w:tc>
      </w:tr>
      <w:tr w:rsidR="00BF04EA" w:rsidTr="00222A56">
        <w:trPr>
          <w:trHeight w:val="312"/>
        </w:trPr>
        <w:tc>
          <w:tcPr>
            <w:tcW w:w="593"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5.2</w:t>
            </w:r>
          </w:p>
        </w:tc>
        <w:tc>
          <w:tcPr>
            <w:tcW w:w="3528"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Average income</w:t>
            </w:r>
          </w:p>
        </w:tc>
        <w:tc>
          <w:tcPr>
            <w:tcW w:w="1149" w:type="dxa"/>
            <w:shd w:val="clear" w:color="auto" w:fill="FFFFFF"/>
            <w:tcMar>
              <w:top w:w="0" w:type="dxa"/>
              <w:bottom w:w="0" w:type="dxa"/>
            </w:tcMa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1,000,000</w:t>
            </w:r>
          </w:p>
        </w:tc>
        <w:tc>
          <w:tcPr>
            <w:tcW w:w="1115" w:type="dxa"/>
            <w:shd w:val="clear" w:color="auto" w:fill="FFFFFF"/>
            <w:tcMar>
              <w:top w:w="0" w:type="dxa"/>
              <w:bottom w:w="0" w:type="dxa"/>
            </w:tcMar>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6,000</w:t>
            </w:r>
          </w:p>
        </w:tc>
        <w:tc>
          <w:tcPr>
            <w:tcW w:w="1290" w:type="dxa"/>
            <w:shd w:val="clear" w:color="auto" w:fill="FFFFFF"/>
            <w:tcMar>
              <w:top w:w="0" w:type="dxa"/>
              <w:bottom w:w="0" w:type="dxa"/>
            </w:tcMar>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4,500</w:t>
            </w:r>
          </w:p>
        </w:tc>
        <w:tc>
          <w:tcPr>
            <w:tcW w:w="1344" w:type="dxa"/>
            <w:shd w:val="clear" w:color="auto" w:fill="FFFFFF"/>
            <w:tcMar>
              <w:top w:w="0" w:type="dxa"/>
              <w:bottom w:w="0" w:type="dxa"/>
            </w:tcMar>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75%</w:t>
            </w:r>
          </w:p>
        </w:tc>
      </w:tr>
    </w:tbl>
    <w:p w:rsidR="00BF04EA" w:rsidRDefault="00222A56">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Production and business plan for 2024:</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3697"/>
        <w:gridCol w:w="1723"/>
        <w:gridCol w:w="1623"/>
        <w:gridCol w:w="1127"/>
      </w:tblGrid>
      <w:tr w:rsidR="00BF04EA" w:rsidTr="00222A56">
        <w:trPr>
          <w:trHeight w:val="451"/>
        </w:trPr>
        <w:tc>
          <w:tcPr>
            <w:tcW w:w="849"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3697"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72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Unit</w:t>
            </w:r>
          </w:p>
        </w:tc>
        <w:tc>
          <w:tcPr>
            <w:tcW w:w="162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2024 Plan</w:t>
            </w:r>
          </w:p>
        </w:tc>
        <w:tc>
          <w:tcPr>
            <w:tcW w:w="1127"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BF04EA" w:rsidTr="00222A56">
        <w:trPr>
          <w:trHeight w:val="418"/>
        </w:trPr>
        <w:tc>
          <w:tcPr>
            <w:tcW w:w="849"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c>
          <w:tcPr>
            <w:tcW w:w="3697"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Production and business plan</w:t>
            </w:r>
          </w:p>
        </w:tc>
        <w:tc>
          <w:tcPr>
            <w:tcW w:w="1723"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c>
          <w:tcPr>
            <w:tcW w:w="1623"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bookmarkStart w:id="0" w:name="_GoBack"/>
            <w:bookmarkEnd w:id="0"/>
          </w:p>
        </w:tc>
        <w:tc>
          <w:tcPr>
            <w:tcW w:w="1127"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r>
      <w:tr w:rsidR="00BF04EA" w:rsidTr="00222A56">
        <w:trPr>
          <w:trHeight w:val="427"/>
        </w:trPr>
        <w:tc>
          <w:tcPr>
            <w:tcW w:w="849" w:type="dxa"/>
            <w:shd w:val="clear" w:color="auto" w:fill="FFFFFF"/>
            <w:tcMar>
              <w:top w:w="0" w:type="dxa"/>
              <w:bottom w:w="0" w:type="dxa"/>
            </w:tcMar>
            <w:vAlign w:val="cente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3697" w:type="dxa"/>
            <w:shd w:val="clear" w:color="auto" w:fill="FFFFFF"/>
            <w:tcMar>
              <w:top w:w="0" w:type="dxa"/>
              <w:bottom w:w="0" w:type="dxa"/>
            </w:tcMar>
            <w:vAlign w:val="center"/>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Value of production and business:</w:t>
            </w:r>
          </w:p>
        </w:tc>
        <w:tc>
          <w:tcPr>
            <w:tcW w:w="172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1,000,000</w:t>
            </w:r>
          </w:p>
        </w:tc>
        <w:tc>
          <w:tcPr>
            <w:tcW w:w="1623"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5,000</w:t>
            </w:r>
          </w:p>
        </w:tc>
        <w:tc>
          <w:tcPr>
            <w:tcW w:w="1127"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r>
      <w:tr w:rsidR="00BF04EA" w:rsidTr="00222A56">
        <w:trPr>
          <w:trHeight w:val="418"/>
        </w:trPr>
        <w:tc>
          <w:tcPr>
            <w:tcW w:w="849" w:type="dxa"/>
            <w:shd w:val="clear" w:color="auto" w:fill="FFFFFF"/>
            <w:tcMar>
              <w:top w:w="0" w:type="dxa"/>
              <w:bottom w:w="0" w:type="dxa"/>
            </w:tcMar>
            <w:vAlign w:val="center"/>
          </w:tcPr>
          <w:p w:rsidR="00BF04EA" w:rsidRDefault="00222A56">
            <w:pPr>
              <w:tabs>
                <w:tab w:val="left" w:pos="432"/>
              </w:tabs>
              <w:spacing w:after="120" w:line="360" w:lineRule="auto"/>
              <w:rPr>
                <w:rFonts w:ascii="Arial" w:eastAsia="Arial" w:hAnsi="Arial" w:cs="Arial"/>
                <w:sz w:val="20"/>
                <w:szCs w:val="20"/>
              </w:rPr>
            </w:pPr>
            <w:r>
              <w:rPr>
                <w:rFonts w:ascii="Arial" w:hAnsi="Arial"/>
                <w:sz w:val="20"/>
              </w:rPr>
              <w:t>2</w:t>
            </w:r>
          </w:p>
        </w:tc>
        <w:tc>
          <w:tcPr>
            <w:tcW w:w="3697" w:type="dxa"/>
            <w:shd w:val="clear" w:color="auto" w:fill="FFFFFF"/>
            <w:tcMar>
              <w:top w:w="0" w:type="dxa"/>
              <w:bottom w:w="0" w:type="dxa"/>
            </w:tcMar>
            <w:vAlign w:val="center"/>
          </w:tcPr>
          <w:p w:rsidR="00BF04EA" w:rsidRDefault="00222A56">
            <w:pPr>
              <w:tabs>
                <w:tab w:val="left" w:pos="432"/>
              </w:tabs>
              <w:spacing w:after="120" w:line="360" w:lineRule="auto"/>
              <w:rPr>
                <w:rFonts w:ascii="Arial" w:eastAsia="Arial" w:hAnsi="Arial" w:cs="Arial"/>
                <w:sz w:val="20"/>
                <w:szCs w:val="20"/>
              </w:rPr>
            </w:pPr>
            <w:r>
              <w:rPr>
                <w:rFonts w:ascii="Arial" w:hAnsi="Arial"/>
                <w:sz w:val="20"/>
              </w:rPr>
              <w:t>Revenue</w:t>
            </w:r>
          </w:p>
        </w:tc>
        <w:tc>
          <w:tcPr>
            <w:tcW w:w="172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1,000,000</w:t>
            </w:r>
          </w:p>
        </w:tc>
        <w:tc>
          <w:tcPr>
            <w:tcW w:w="1623"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3,500</w:t>
            </w:r>
          </w:p>
        </w:tc>
        <w:tc>
          <w:tcPr>
            <w:tcW w:w="1127"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r>
      <w:tr w:rsidR="00BF04EA" w:rsidTr="00222A56">
        <w:trPr>
          <w:trHeight w:val="418"/>
        </w:trPr>
        <w:tc>
          <w:tcPr>
            <w:tcW w:w="849"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3697"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Transferred amount into bank account</w:t>
            </w:r>
          </w:p>
        </w:tc>
        <w:tc>
          <w:tcPr>
            <w:tcW w:w="172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1,000,000</w:t>
            </w:r>
          </w:p>
        </w:tc>
        <w:tc>
          <w:tcPr>
            <w:tcW w:w="1623"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2,000</w:t>
            </w:r>
          </w:p>
        </w:tc>
        <w:tc>
          <w:tcPr>
            <w:tcW w:w="1127"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r>
      <w:tr w:rsidR="00BF04EA" w:rsidTr="00222A56">
        <w:trPr>
          <w:trHeight w:val="418"/>
        </w:trPr>
        <w:tc>
          <w:tcPr>
            <w:tcW w:w="849"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3697"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Payable to state budget</w:t>
            </w:r>
          </w:p>
        </w:tc>
        <w:tc>
          <w:tcPr>
            <w:tcW w:w="172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1,000,000</w:t>
            </w:r>
          </w:p>
        </w:tc>
        <w:tc>
          <w:tcPr>
            <w:tcW w:w="1623"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500</w:t>
            </w:r>
          </w:p>
        </w:tc>
        <w:tc>
          <w:tcPr>
            <w:tcW w:w="1127"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r>
      <w:tr w:rsidR="00BF04EA" w:rsidTr="00222A56">
        <w:trPr>
          <w:trHeight w:val="408"/>
        </w:trPr>
        <w:tc>
          <w:tcPr>
            <w:tcW w:w="849"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3697"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Employees and salary</w:t>
            </w:r>
          </w:p>
        </w:tc>
        <w:tc>
          <w:tcPr>
            <w:tcW w:w="1723"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c>
          <w:tcPr>
            <w:tcW w:w="1623" w:type="dxa"/>
            <w:shd w:val="clear" w:color="auto" w:fill="FFFFFF"/>
            <w:tcMar>
              <w:top w:w="0" w:type="dxa"/>
              <w:bottom w:w="0" w:type="dxa"/>
            </w:tcMar>
          </w:tcPr>
          <w:p w:rsidR="00BF04EA" w:rsidRDefault="00BF04EA" w:rsidP="00222A56">
            <w:pPr>
              <w:tabs>
                <w:tab w:val="left" w:pos="432"/>
              </w:tabs>
              <w:spacing w:after="120" w:line="360" w:lineRule="auto"/>
              <w:jc w:val="right"/>
              <w:rPr>
                <w:rFonts w:ascii="Arial" w:eastAsia="Arial" w:hAnsi="Arial" w:cs="Arial"/>
                <w:sz w:val="20"/>
                <w:szCs w:val="20"/>
              </w:rPr>
            </w:pPr>
          </w:p>
        </w:tc>
        <w:tc>
          <w:tcPr>
            <w:tcW w:w="1127"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r>
      <w:tr w:rsidR="00BF04EA" w:rsidTr="00222A56">
        <w:trPr>
          <w:trHeight w:val="413"/>
        </w:trPr>
        <w:tc>
          <w:tcPr>
            <w:tcW w:w="849"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5.1</w:t>
            </w:r>
          </w:p>
        </w:tc>
        <w:tc>
          <w:tcPr>
            <w:tcW w:w="3697"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employees</w:t>
            </w:r>
          </w:p>
        </w:tc>
        <w:tc>
          <w:tcPr>
            <w:tcW w:w="172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Employee</w:t>
            </w:r>
          </w:p>
        </w:tc>
        <w:tc>
          <w:tcPr>
            <w:tcW w:w="1623"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15</w:t>
            </w:r>
          </w:p>
        </w:tc>
        <w:tc>
          <w:tcPr>
            <w:tcW w:w="1127"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r>
      <w:tr w:rsidR="00BF04EA" w:rsidTr="00222A56">
        <w:trPr>
          <w:trHeight w:val="437"/>
        </w:trPr>
        <w:tc>
          <w:tcPr>
            <w:tcW w:w="849"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w:t>
            </w:r>
          </w:p>
        </w:tc>
        <w:tc>
          <w:tcPr>
            <w:tcW w:w="3697"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Average monthly income/person</w:t>
            </w:r>
          </w:p>
        </w:tc>
        <w:tc>
          <w:tcPr>
            <w:tcW w:w="1723" w:type="dxa"/>
            <w:shd w:val="clear" w:color="auto" w:fill="FFFFFF"/>
            <w:tcMar>
              <w:top w:w="0" w:type="dxa"/>
              <w:bottom w:w="0" w:type="dxa"/>
            </w:tcMar>
            <w:vAlign w:val="bottom"/>
          </w:tcPr>
          <w:p w:rsidR="00BF04EA" w:rsidRDefault="00222A5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1,000</w:t>
            </w:r>
          </w:p>
        </w:tc>
        <w:tc>
          <w:tcPr>
            <w:tcW w:w="1623" w:type="dxa"/>
            <w:shd w:val="clear" w:color="auto" w:fill="FFFFFF"/>
            <w:tcMar>
              <w:top w:w="0" w:type="dxa"/>
              <w:bottom w:w="0" w:type="dxa"/>
            </w:tcMar>
            <w:vAlign w:val="bottom"/>
          </w:tcPr>
          <w:p w:rsidR="00BF04EA" w:rsidRDefault="00222A56" w:rsidP="00222A56">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5,000</w:t>
            </w:r>
          </w:p>
        </w:tc>
        <w:tc>
          <w:tcPr>
            <w:tcW w:w="1127" w:type="dxa"/>
            <w:shd w:val="clear" w:color="auto" w:fill="FFFFFF"/>
            <w:tcMar>
              <w:top w:w="0" w:type="dxa"/>
              <w:bottom w:w="0" w:type="dxa"/>
            </w:tcMar>
          </w:tcPr>
          <w:p w:rsidR="00BF04EA" w:rsidRDefault="00BF04EA">
            <w:pPr>
              <w:tabs>
                <w:tab w:val="left" w:pos="432"/>
              </w:tabs>
              <w:spacing w:after="120" w:line="360" w:lineRule="auto"/>
              <w:rPr>
                <w:rFonts w:ascii="Arial" w:eastAsia="Arial" w:hAnsi="Arial" w:cs="Arial"/>
                <w:sz w:val="20"/>
                <w:szCs w:val="20"/>
              </w:rPr>
            </w:pPr>
          </w:p>
        </w:tc>
      </w:tr>
    </w:tbl>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The implementation of the 2024 production and business plan depends heavily on the financial situation: </w:t>
      </w:r>
      <w:r>
        <w:rPr>
          <w:rFonts w:ascii="Arial" w:hAnsi="Arial"/>
          <w:sz w:val="20"/>
        </w:rPr>
        <w:t>The Company must complete the capital reduction due to the separation of the enterprise in order to ensure bidding and signing contracts with investors; work with Banks to borrow credit capital to expand production and business and carry out joint ventures</w:t>
      </w:r>
      <w:r>
        <w:rPr>
          <w:rFonts w:ascii="Arial" w:hAnsi="Arial"/>
          <w:sz w:val="20"/>
        </w:rPr>
        <w:t xml:space="preserve"> and associations to attract investment capital.</w:t>
      </w:r>
    </w:p>
    <w:p w:rsidR="00BF04EA" w:rsidRDefault="00222A56" w:rsidP="008E3966">
      <w:pPr>
        <w:numPr>
          <w:ilvl w:val="0"/>
          <w:numId w:val="12"/>
        </w:numPr>
        <w:pBdr>
          <w:top w:val="nil"/>
          <w:left w:val="nil"/>
          <w:bottom w:val="nil"/>
          <w:right w:val="nil"/>
          <w:between w:val="nil"/>
        </w:pBdr>
        <w:tabs>
          <w:tab w:val="left" w:pos="368"/>
          <w:tab w:val="left" w:pos="432"/>
        </w:tabs>
        <w:spacing w:after="120" w:line="360" w:lineRule="auto"/>
        <w:jc w:val="both"/>
        <w:rPr>
          <w:rFonts w:ascii="Arial" w:eastAsia="Arial" w:hAnsi="Arial" w:cs="Arial"/>
          <w:sz w:val="20"/>
          <w:szCs w:val="20"/>
        </w:rPr>
      </w:pPr>
      <w:r>
        <w:rPr>
          <w:rFonts w:ascii="Arial" w:hAnsi="Arial"/>
          <w:sz w:val="20"/>
        </w:rPr>
        <w:t>Approve the remuneration settlement of the Board of Directors and Supervisory Board in 2023 and the estimated remuneration for the Board of Directors and Supervisory Board in 2024:</w:t>
      </w:r>
    </w:p>
    <w:p w:rsidR="00BF04EA" w:rsidRDefault="00222A56" w:rsidP="008E3966">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Remuneration settlement in 2023</w:t>
      </w:r>
    </w:p>
    <w:p w:rsidR="00BF04EA" w:rsidRDefault="00222A56" w:rsidP="008E3966">
      <w:pPr>
        <w:numPr>
          <w:ilvl w:val="0"/>
          <w:numId w:val="10"/>
        </w:numPr>
        <w:pBdr>
          <w:top w:val="nil"/>
          <w:left w:val="nil"/>
          <w:bottom w:val="nil"/>
          <w:right w:val="nil"/>
          <w:between w:val="nil"/>
        </w:pBdr>
        <w:tabs>
          <w:tab w:val="left" w:pos="432"/>
          <w:tab w:val="left" w:pos="607"/>
        </w:tabs>
        <w:spacing w:after="120" w:line="360" w:lineRule="auto"/>
        <w:jc w:val="both"/>
        <w:rPr>
          <w:rFonts w:ascii="Arial" w:eastAsia="Arial" w:hAnsi="Arial" w:cs="Arial"/>
          <w:sz w:val="20"/>
          <w:szCs w:val="20"/>
        </w:rPr>
      </w:pPr>
      <w:r>
        <w:rPr>
          <w:rFonts w:ascii="Arial" w:hAnsi="Arial"/>
          <w:sz w:val="20"/>
        </w:rPr>
        <w:t>The estimated remuneration expenses for the Board of Directors and Supervisory Board of the company in 2023 is VND 216,000,000.</w:t>
      </w:r>
    </w:p>
    <w:p w:rsidR="00BF04EA" w:rsidRDefault="00222A56" w:rsidP="008E3966">
      <w:pPr>
        <w:numPr>
          <w:ilvl w:val="0"/>
          <w:numId w:val="10"/>
        </w:numPr>
        <w:pBdr>
          <w:top w:val="nil"/>
          <w:left w:val="nil"/>
          <w:bottom w:val="nil"/>
          <w:right w:val="nil"/>
          <w:between w:val="nil"/>
        </w:pBdr>
        <w:tabs>
          <w:tab w:val="left" w:pos="432"/>
          <w:tab w:val="left" w:pos="636"/>
        </w:tabs>
        <w:spacing w:after="120" w:line="360" w:lineRule="auto"/>
        <w:jc w:val="both"/>
        <w:rPr>
          <w:rFonts w:ascii="Arial" w:eastAsia="Arial" w:hAnsi="Arial" w:cs="Arial"/>
          <w:sz w:val="20"/>
          <w:szCs w:val="20"/>
        </w:rPr>
      </w:pPr>
      <w:r>
        <w:rPr>
          <w:rFonts w:ascii="Arial" w:hAnsi="Arial"/>
          <w:sz w:val="20"/>
        </w:rPr>
        <w:t>The remuneration settlement for the Board of Directors and Supervisory Board in 2023 based on th</w:t>
      </w:r>
      <w:r>
        <w:rPr>
          <w:rFonts w:ascii="Arial" w:hAnsi="Arial"/>
          <w:sz w:val="20"/>
        </w:rPr>
        <w:t>e completion rate of 50% is as follows: 216,000,000 X 50% = VND 108,000,000.</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 which:</w:t>
      </w:r>
    </w:p>
    <w:p w:rsidR="00BF04EA" w:rsidRDefault="00222A56" w:rsidP="008E3966">
      <w:pPr>
        <w:numPr>
          <w:ilvl w:val="0"/>
          <w:numId w:val="14"/>
        </w:numPr>
        <w:pBdr>
          <w:top w:val="nil"/>
          <w:left w:val="nil"/>
          <w:bottom w:val="nil"/>
          <w:right w:val="nil"/>
          <w:between w:val="nil"/>
        </w:pBdr>
        <w:tabs>
          <w:tab w:val="left" w:pos="432"/>
          <w:tab w:val="left" w:pos="4269"/>
        </w:tabs>
        <w:spacing w:after="120" w:line="360" w:lineRule="auto"/>
        <w:ind w:left="0" w:firstLine="0"/>
        <w:jc w:val="both"/>
        <w:rPr>
          <w:rFonts w:ascii="Arial" w:eastAsia="Arial" w:hAnsi="Arial" w:cs="Arial"/>
          <w:sz w:val="20"/>
          <w:szCs w:val="20"/>
        </w:rPr>
      </w:pPr>
      <w:r>
        <w:rPr>
          <w:rFonts w:ascii="Arial" w:hAnsi="Arial"/>
          <w:sz w:val="20"/>
        </w:rPr>
        <w:t>Remuneration for the Board of Directors: VND 66,000,000</w:t>
      </w:r>
    </w:p>
    <w:p w:rsidR="00BF04EA" w:rsidRDefault="00222A56" w:rsidP="008E3966">
      <w:pPr>
        <w:numPr>
          <w:ilvl w:val="0"/>
          <w:numId w:val="14"/>
        </w:numPr>
        <w:pBdr>
          <w:top w:val="nil"/>
          <w:left w:val="nil"/>
          <w:bottom w:val="nil"/>
          <w:right w:val="nil"/>
          <w:between w:val="nil"/>
        </w:pBdr>
        <w:tabs>
          <w:tab w:val="left" w:pos="432"/>
          <w:tab w:val="left" w:pos="4269"/>
        </w:tabs>
        <w:spacing w:after="120" w:line="360" w:lineRule="auto"/>
        <w:ind w:left="0" w:firstLine="0"/>
        <w:jc w:val="both"/>
        <w:rPr>
          <w:rFonts w:ascii="Arial" w:eastAsia="Arial" w:hAnsi="Arial" w:cs="Arial"/>
          <w:sz w:val="20"/>
          <w:szCs w:val="20"/>
        </w:rPr>
      </w:pPr>
      <w:r>
        <w:rPr>
          <w:rFonts w:ascii="Arial" w:hAnsi="Arial"/>
          <w:sz w:val="20"/>
        </w:rPr>
        <w:t>Remuneration for the Supervisory Board: VND 42,000,000</w:t>
      </w:r>
    </w:p>
    <w:p w:rsidR="00BF04EA" w:rsidRDefault="00222A56" w:rsidP="008E3966">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The Board of Directors submits to the General Meeting of Shareholders for approval of the remuneration levels of the Board of Directors and Supervisory Board in 2024</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Total estimated remuneration for the Board of Directors and Supervisory Board in 2024: </w:t>
      </w:r>
      <w:r>
        <w:rPr>
          <w:rFonts w:ascii="Arial" w:hAnsi="Arial"/>
          <w:sz w:val="20"/>
        </w:rPr>
        <w:t>VND</w:t>
      </w:r>
      <w:r>
        <w:rPr>
          <w:rFonts w:ascii="Arial" w:hAnsi="Arial"/>
          <w:sz w:val="20"/>
        </w:rPr>
        <w:t xml:space="preserve"> 216,000,000</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 which:</w:t>
      </w:r>
    </w:p>
    <w:p w:rsidR="00BF04EA" w:rsidRDefault="00222A56" w:rsidP="008E3966">
      <w:pPr>
        <w:numPr>
          <w:ilvl w:val="0"/>
          <w:numId w:val="15"/>
        </w:numPr>
        <w:pBdr>
          <w:top w:val="nil"/>
          <w:left w:val="nil"/>
          <w:bottom w:val="nil"/>
          <w:right w:val="nil"/>
          <w:between w:val="nil"/>
        </w:pBdr>
        <w:tabs>
          <w:tab w:val="left" w:pos="432"/>
          <w:tab w:val="center" w:pos="5824"/>
          <w:tab w:val="center" w:pos="6443"/>
          <w:tab w:val="left" w:pos="7145"/>
        </w:tabs>
        <w:spacing w:after="120" w:line="360" w:lineRule="auto"/>
        <w:ind w:left="0" w:firstLine="0"/>
        <w:jc w:val="both"/>
        <w:rPr>
          <w:rFonts w:ascii="Arial" w:eastAsia="Arial" w:hAnsi="Arial" w:cs="Arial"/>
          <w:sz w:val="20"/>
          <w:szCs w:val="20"/>
        </w:rPr>
      </w:pPr>
      <w:r>
        <w:rPr>
          <w:rFonts w:ascii="Arial" w:hAnsi="Arial"/>
          <w:sz w:val="20"/>
        </w:rPr>
        <w:lastRenderedPageBreak/>
        <w:t>Chair of the Board of Directors: VND 5,000,000/person/month;</w:t>
      </w:r>
    </w:p>
    <w:p w:rsidR="00BF04EA" w:rsidRDefault="00222A56" w:rsidP="008E3966">
      <w:pPr>
        <w:numPr>
          <w:ilvl w:val="0"/>
          <w:numId w:val="15"/>
        </w:numPr>
        <w:pBdr>
          <w:top w:val="nil"/>
          <w:left w:val="nil"/>
          <w:bottom w:val="nil"/>
          <w:right w:val="nil"/>
          <w:between w:val="nil"/>
        </w:pBdr>
        <w:tabs>
          <w:tab w:val="left" w:pos="432"/>
          <w:tab w:val="center" w:pos="5824"/>
          <w:tab w:val="center" w:pos="6443"/>
          <w:tab w:val="left" w:pos="7140"/>
        </w:tabs>
        <w:spacing w:after="120" w:line="360" w:lineRule="auto"/>
        <w:ind w:left="0" w:firstLine="0"/>
        <w:jc w:val="both"/>
        <w:rPr>
          <w:rFonts w:ascii="Arial" w:eastAsia="Arial" w:hAnsi="Arial" w:cs="Arial"/>
          <w:sz w:val="20"/>
          <w:szCs w:val="20"/>
        </w:rPr>
      </w:pPr>
      <w:r>
        <w:rPr>
          <w:rFonts w:ascii="Arial" w:hAnsi="Arial"/>
          <w:sz w:val="20"/>
        </w:rPr>
        <w:t>Members of the Board of Directors: VND 3,000,000/person/month;</w:t>
      </w:r>
    </w:p>
    <w:p w:rsidR="00BF04EA" w:rsidRDefault="00222A56" w:rsidP="008E3966">
      <w:pPr>
        <w:numPr>
          <w:ilvl w:val="0"/>
          <w:numId w:val="15"/>
        </w:numPr>
        <w:pBdr>
          <w:top w:val="nil"/>
          <w:left w:val="nil"/>
          <w:bottom w:val="nil"/>
          <w:right w:val="nil"/>
          <w:between w:val="nil"/>
        </w:pBdr>
        <w:tabs>
          <w:tab w:val="left" w:pos="432"/>
          <w:tab w:val="center" w:pos="5824"/>
          <w:tab w:val="center" w:pos="6443"/>
          <w:tab w:val="left" w:pos="7140"/>
        </w:tabs>
        <w:spacing w:after="120" w:line="360" w:lineRule="auto"/>
        <w:ind w:left="0" w:firstLine="0"/>
        <w:jc w:val="both"/>
        <w:rPr>
          <w:rFonts w:ascii="Arial" w:eastAsia="Arial" w:hAnsi="Arial" w:cs="Arial"/>
          <w:sz w:val="20"/>
          <w:szCs w:val="20"/>
        </w:rPr>
      </w:pPr>
      <w:r>
        <w:rPr>
          <w:rFonts w:ascii="Arial" w:hAnsi="Arial"/>
          <w:sz w:val="20"/>
        </w:rPr>
        <w:t>Chief of the Supervisory Board: VND 3,000,000 per member per month</w:t>
      </w:r>
    </w:p>
    <w:p w:rsidR="00BF04EA" w:rsidRDefault="00222A56" w:rsidP="008E3966">
      <w:pPr>
        <w:numPr>
          <w:ilvl w:val="0"/>
          <w:numId w:val="15"/>
        </w:numPr>
        <w:pBdr>
          <w:top w:val="nil"/>
          <w:left w:val="nil"/>
          <w:bottom w:val="nil"/>
          <w:right w:val="nil"/>
          <w:between w:val="nil"/>
        </w:pBdr>
        <w:tabs>
          <w:tab w:val="left" w:pos="432"/>
          <w:tab w:val="center" w:pos="5824"/>
          <w:tab w:val="center" w:pos="6443"/>
          <w:tab w:val="left" w:pos="7145"/>
        </w:tabs>
        <w:spacing w:after="120" w:line="360" w:lineRule="auto"/>
        <w:ind w:left="0" w:firstLine="0"/>
        <w:jc w:val="both"/>
        <w:rPr>
          <w:rFonts w:ascii="Arial" w:eastAsia="Arial" w:hAnsi="Arial" w:cs="Arial"/>
          <w:sz w:val="20"/>
          <w:szCs w:val="20"/>
        </w:rPr>
      </w:pPr>
      <w:r>
        <w:rPr>
          <w:rFonts w:ascii="Arial" w:hAnsi="Arial"/>
          <w:sz w:val="20"/>
        </w:rPr>
        <w:t xml:space="preserve">Member of the Supervisory Board: </w:t>
      </w:r>
      <w:r>
        <w:rPr>
          <w:rFonts w:ascii="Arial" w:hAnsi="Arial"/>
          <w:sz w:val="20"/>
        </w:rPr>
        <w:t>VND 2,000,000 per member per month</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The remuneration for the Board of Directors and Supervisory Board is settled at the end of the fiscal year after obtaining the results of production and business activities. </w:t>
      </w:r>
      <w:r>
        <w:rPr>
          <w:rFonts w:ascii="Arial" w:hAnsi="Arial"/>
          <w:sz w:val="20"/>
        </w:rPr>
        <w:t>The remuneration for the Board of Directors and</w:t>
      </w:r>
      <w:r>
        <w:rPr>
          <w:rFonts w:ascii="Arial" w:hAnsi="Arial"/>
          <w:sz w:val="20"/>
        </w:rPr>
        <w:t xml:space="preserve"> Supervisory Board is settled in accordance with the company's salary regulations, suitable for the type of enterprise and in compliance with the provisions of law.</w:t>
      </w:r>
    </w:p>
    <w:p w:rsidR="00BF04EA" w:rsidRDefault="00222A56" w:rsidP="008E3966">
      <w:pPr>
        <w:numPr>
          <w:ilvl w:val="0"/>
          <w:numId w:val="12"/>
        </w:numPr>
        <w:pBdr>
          <w:top w:val="nil"/>
          <w:left w:val="nil"/>
          <w:bottom w:val="nil"/>
          <w:right w:val="nil"/>
          <w:between w:val="nil"/>
        </w:pBdr>
        <w:tabs>
          <w:tab w:val="left" w:pos="368"/>
          <w:tab w:val="left" w:pos="432"/>
        </w:tabs>
        <w:spacing w:after="120" w:line="360" w:lineRule="auto"/>
        <w:jc w:val="both"/>
        <w:rPr>
          <w:rFonts w:ascii="Arial" w:eastAsia="Arial" w:hAnsi="Arial" w:cs="Arial"/>
          <w:sz w:val="20"/>
          <w:szCs w:val="20"/>
        </w:rPr>
      </w:pPr>
      <w:r>
        <w:rPr>
          <w:rFonts w:ascii="Arial" w:hAnsi="Arial"/>
          <w:sz w:val="20"/>
        </w:rPr>
        <w:t>Approve the selection of an audit company to audit the Financial Statements for 2024.</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Annual General Meeting of Shareholders in 2024 unanimously authorizes the Board of Directors and the Supervisory Board of the Company to select an audit company in accordance with the provisions of law to audit the Financial Statements for 2024.</w:t>
      </w:r>
    </w:p>
    <w:p w:rsidR="00BF04EA" w:rsidRDefault="00222A56" w:rsidP="008E3966">
      <w:pPr>
        <w:numPr>
          <w:ilvl w:val="0"/>
          <w:numId w:val="12"/>
        </w:numPr>
        <w:pBdr>
          <w:top w:val="nil"/>
          <w:left w:val="nil"/>
          <w:bottom w:val="nil"/>
          <w:right w:val="nil"/>
          <w:between w:val="nil"/>
        </w:pBdr>
        <w:tabs>
          <w:tab w:val="left" w:pos="368"/>
          <w:tab w:val="left" w:pos="432"/>
        </w:tabs>
        <w:spacing w:after="120" w:line="360" w:lineRule="auto"/>
        <w:jc w:val="both"/>
        <w:rPr>
          <w:rFonts w:ascii="Arial" w:eastAsia="Arial" w:hAnsi="Arial" w:cs="Arial"/>
          <w:sz w:val="20"/>
          <w:szCs w:val="20"/>
        </w:rPr>
      </w:pPr>
      <w:r>
        <w:rPr>
          <w:rFonts w:ascii="Arial" w:hAnsi="Arial"/>
          <w:sz w:val="20"/>
        </w:rPr>
        <w:t>Approv</w:t>
      </w:r>
      <w:r>
        <w:rPr>
          <w:rFonts w:ascii="Arial" w:hAnsi="Arial"/>
          <w:sz w:val="20"/>
        </w:rPr>
        <w:t>e the transfer and liquidation of fixed assets that have been fully depreciated, old, outdated and no longer usable.</w:t>
      </w:r>
    </w:p>
    <w:p w:rsidR="00BF04EA" w:rsidRDefault="00222A56" w:rsidP="008E3966">
      <w:pPr>
        <w:numPr>
          <w:ilvl w:val="0"/>
          <w:numId w:val="10"/>
        </w:numPr>
        <w:pBdr>
          <w:top w:val="nil"/>
          <w:left w:val="nil"/>
          <w:bottom w:val="nil"/>
          <w:right w:val="nil"/>
          <w:between w:val="nil"/>
        </w:pBdr>
        <w:tabs>
          <w:tab w:val="left" w:pos="432"/>
          <w:tab w:val="left" w:pos="607"/>
        </w:tabs>
        <w:spacing w:after="120" w:line="360" w:lineRule="auto"/>
        <w:jc w:val="both"/>
        <w:rPr>
          <w:rFonts w:ascii="Arial" w:eastAsia="Arial" w:hAnsi="Arial" w:cs="Arial"/>
          <w:sz w:val="20"/>
          <w:szCs w:val="20"/>
        </w:rPr>
      </w:pPr>
      <w:r>
        <w:rPr>
          <w:rFonts w:ascii="Arial" w:hAnsi="Arial"/>
          <w:sz w:val="20"/>
        </w:rPr>
        <w:t>Pursuant to the Charter of organization and operation of Song Da 25 JSC.</w:t>
      </w:r>
    </w:p>
    <w:p w:rsidR="00BF04EA" w:rsidRDefault="00222A56" w:rsidP="008E3966">
      <w:pPr>
        <w:numPr>
          <w:ilvl w:val="0"/>
          <w:numId w:val="10"/>
        </w:numPr>
        <w:pBdr>
          <w:top w:val="nil"/>
          <w:left w:val="nil"/>
          <w:bottom w:val="nil"/>
          <w:right w:val="nil"/>
          <w:between w:val="nil"/>
        </w:pBdr>
        <w:tabs>
          <w:tab w:val="left" w:pos="432"/>
          <w:tab w:val="left" w:pos="607"/>
        </w:tabs>
        <w:spacing w:after="120" w:line="360" w:lineRule="auto"/>
        <w:jc w:val="both"/>
        <w:rPr>
          <w:rFonts w:ascii="Arial" w:eastAsia="Arial" w:hAnsi="Arial" w:cs="Arial"/>
          <w:sz w:val="20"/>
          <w:szCs w:val="20"/>
        </w:rPr>
      </w:pPr>
      <w:r>
        <w:rPr>
          <w:rFonts w:ascii="Arial" w:hAnsi="Arial"/>
          <w:sz w:val="20"/>
        </w:rPr>
        <w:t>Pursuant to the Company's regulations on management of machinery a</w:t>
      </w:r>
      <w:r>
        <w:rPr>
          <w:rFonts w:ascii="Arial" w:hAnsi="Arial"/>
          <w:sz w:val="20"/>
        </w:rPr>
        <w:t>nd equipment.</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Annual General Meeting of Shareholders in 2024 unanimously authorizes the Board of Directors of the company to liquidate fixed assets that have been fully depreciated, old, outdated and no longer usable in accordance with the company's re</w:t>
      </w:r>
      <w:r>
        <w:rPr>
          <w:rFonts w:ascii="Arial" w:hAnsi="Arial"/>
          <w:sz w:val="20"/>
        </w:rPr>
        <w:t>gulations and rules and in compliance with the provisions of law on liquidation of fixed assets.</w:t>
      </w:r>
    </w:p>
    <w:p w:rsidR="00BF04EA" w:rsidRDefault="00222A56" w:rsidP="008E3966">
      <w:pPr>
        <w:numPr>
          <w:ilvl w:val="0"/>
          <w:numId w:val="12"/>
        </w:numPr>
        <w:pBdr>
          <w:top w:val="nil"/>
          <w:left w:val="nil"/>
          <w:bottom w:val="nil"/>
          <w:right w:val="nil"/>
          <w:between w:val="nil"/>
        </w:pBdr>
        <w:tabs>
          <w:tab w:val="left" w:pos="298"/>
          <w:tab w:val="left" w:pos="432"/>
        </w:tabs>
        <w:spacing w:after="120" w:line="360" w:lineRule="auto"/>
        <w:jc w:val="both"/>
        <w:rPr>
          <w:rFonts w:ascii="Arial" w:eastAsia="Arial" w:hAnsi="Arial" w:cs="Arial"/>
          <w:sz w:val="20"/>
          <w:szCs w:val="20"/>
        </w:rPr>
      </w:pPr>
      <w:r>
        <w:rPr>
          <w:rFonts w:ascii="Arial" w:hAnsi="Arial"/>
          <w:sz w:val="20"/>
        </w:rPr>
        <w:t>Approve the continued authorization for the Board of Directors to direct and carry out tasks to completely resolve the company'</w:t>
      </w:r>
      <w:r>
        <w:rPr>
          <w:rFonts w:ascii="Arial" w:hAnsi="Arial"/>
          <w:sz w:val="20"/>
        </w:rPr>
        <w:t>s separation and capital reduction due to the company's separation with relevant state management agencies and to prepare necessary documents to cancel the registration of securities trading of Song Da 25 JSC shares after completing the capital reduction:</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Currently, the separation of the enterprise according to Annual General Mandate in 2021 and 2022 has been completed, but Song Da 25 JSC has not yet received the result of capital reduction due to the separation of the enterprise from the Vietnam Securities</w:t>
      </w:r>
      <w:r>
        <w:rPr>
          <w:rFonts w:ascii="Arial" w:hAnsi="Arial"/>
          <w:sz w:val="20"/>
        </w:rPr>
        <w:t xml:space="preserve"> Depository, the Hanoi Stock Exchange and the State Securities Commission.</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Annual General Meeting of Shareholders in 2024 of Song Da 25 JSC unanimously approves the continued authorization for the Board of Directors and the Board of Management of the c</w:t>
      </w:r>
      <w:r>
        <w:rPr>
          <w:rFonts w:ascii="Arial" w:hAnsi="Arial"/>
          <w:sz w:val="20"/>
        </w:rPr>
        <w:t>ompany to continue working with management agencies (Vietnam Securities Depository, Hanoi Stock Exchange, State Securities Commission) to promptly resolve the capital reduction due to the company's separation to ensure the interests of shareholders, and th</w:t>
      </w:r>
      <w:r>
        <w:rPr>
          <w:rFonts w:ascii="Arial" w:hAnsi="Arial"/>
          <w:sz w:val="20"/>
        </w:rPr>
        <w:t>e separated companies as well as the company being separated have conditions to mobilize capital to continue maintaining business operations.</w:t>
      </w:r>
    </w:p>
    <w:p w:rsidR="00BF04EA" w:rsidRDefault="00222A56" w:rsidP="008E3966">
      <w:pPr>
        <w:pBdr>
          <w:top w:val="nil"/>
          <w:left w:val="nil"/>
          <w:bottom w:val="nil"/>
          <w:right w:val="nil"/>
          <w:between w:val="nil"/>
        </w:pBdr>
        <w:tabs>
          <w:tab w:val="left" w:pos="432"/>
          <w:tab w:val="left" w:pos="9606"/>
        </w:tabs>
        <w:spacing w:after="120" w:line="360" w:lineRule="auto"/>
        <w:jc w:val="both"/>
        <w:rPr>
          <w:rFonts w:ascii="Arial" w:eastAsia="Arial" w:hAnsi="Arial" w:cs="Arial"/>
          <w:sz w:val="20"/>
          <w:szCs w:val="20"/>
        </w:rPr>
      </w:pPr>
      <w:r>
        <w:rPr>
          <w:rFonts w:ascii="Arial" w:hAnsi="Arial"/>
          <w:sz w:val="20"/>
        </w:rPr>
        <w:lastRenderedPageBreak/>
        <w:t xml:space="preserve">After the capital reduction, the charter capital of Song Da 25 JSC is VND 12,122,000,000, so it does not meet the </w:t>
      </w:r>
      <w:r>
        <w:rPr>
          <w:rFonts w:ascii="Arial" w:hAnsi="Arial"/>
          <w:sz w:val="20"/>
        </w:rPr>
        <w:t>capital conditions under Article 32 of the Securities Law 2019.</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The Annual General Meeting of Shareholders in 2024 decides to approve the authorization for the Board of Directors of the company to direct and carry out necessary procedures to submit to the </w:t>
      </w:r>
      <w:r>
        <w:rPr>
          <w:rFonts w:ascii="Arial" w:hAnsi="Arial"/>
          <w:sz w:val="20"/>
        </w:rPr>
        <w:t>State Securities Commission and relevant management agencies to cancel the registration of securities trading due to not meeting the above capital conditions.</w:t>
      </w:r>
    </w:p>
    <w:p w:rsidR="00BF04EA" w:rsidRDefault="00222A56" w:rsidP="008E3966">
      <w:pPr>
        <w:numPr>
          <w:ilvl w:val="0"/>
          <w:numId w:val="12"/>
        </w:numPr>
        <w:pBdr>
          <w:top w:val="nil"/>
          <w:left w:val="nil"/>
          <w:bottom w:val="nil"/>
          <w:right w:val="nil"/>
          <w:between w:val="nil"/>
        </w:pBdr>
        <w:tabs>
          <w:tab w:val="left" w:pos="313"/>
          <w:tab w:val="left" w:pos="432"/>
        </w:tabs>
        <w:spacing w:after="120" w:line="360" w:lineRule="auto"/>
        <w:jc w:val="both"/>
        <w:rPr>
          <w:rFonts w:ascii="Arial" w:eastAsia="Arial" w:hAnsi="Arial" w:cs="Arial"/>
          <w:sz w:val="20"/>
          <w:szCs w:val="20"/>
        </w:rPr>
      </w:pPr>
      <w:r>
        <w:rPr>
          <w:rFonts w:ascii="Arial" w:hAnsi="Arial"/>
          <w:sz w:val="20"/>
        </w:rPr>
        <w:t>Approve the content that the General Meeting of Shareholders authorizes the Board of Directors of Song Da 25 JSC to approve other issues under the decision-making authority of the General Meeting of Shareholders.</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The Annual General Meeting of Shareholders </w:t>
      </w:r>
      <w:r>
        <w:rPr>
          <w:rFonts w:ascii="Arial" w:hAnsi="Arial"/>
          <w:sz w:val="20"/>
        </w:rPr>
        <w:t>in 2024 unanimously approves the content of authorizing the Board of Directors of Song Da 25 JSC to decide on other issues under the decision-making authority of the General Meeting of Shareholders.</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gramStart"/>
      <w:r>
        <w:rPr>
          <w:rFonts w:ascii="Arial" w:hAnsi="Arial"/>
          <w:sz w:val="20"/>
        </w:rPr>
        <w:t>Article 2.</w:t>
      </w:r>
      <w:proofErr w:type="gramEnd"/>
      <w:r>
        <w:rPr>
          <w:rFonts w:ascii="Arial" w:hAnsi="Arial"/>
          <w:sz w:val="20"/>
        </w:rPr>
        <w:t xml:space="preserve"> </w:t>
      </w:r>
      <w:r>
        <w:rPr>
          <w:rFonts w:ascii="Arial" w:hAnsi="Arial"/>
          <w:sz w:val="20"/>
        </w:rPr>
        <w:t>The General Meeting of Shareholders assigns th</w:t>
      </w:r>
      <w:r>
        <w:rPr>
          <w:rFonts w:ascii="Arial" w:hAnsi="Arial"/>
          <w:sz w:val="20"/>
        </w:rPr>
        <w:t>e Board of Directors to direct the executive apparatus to organize the implementation of Annual General Mandate 2024.</w:t>
      </w:r>
      <w:r>
        <w:rPr>
          <w:rFonts w:ascii="Arial" w:hAnsi="Arial"/>
          <w:sz w:val="20"/>
        </w:rPr>
        <w:t xml:space="preserve"> During the implementation process, if there are difficulties and obstacles that cannot be overcome, the General Meeting of Shareholders as</w:t>
      </w:r>
      <w:r>
        <w:rPr>
          <w:rFonts w:ascii="Arial" w:hAnsi="Arial"/>
          <w:sz w:val="20"/>
        </w:rPr>
        <w:t>signs the Board of Directors of the Company to consider adjusting to suit the actual conditions of the Company. The Supervisory Board performs the function of inspecting and supervising the management activities of the Board of Directors, the executive act</w:t>
      </w:r>
      <w:r>
        <w:rPr>
          <w:rFonts w:ascii="Arial" w:hAnsi="Arial"/>
          <w:sz w:val="20"/>
        </w:rPr>
        <w:t>ivities of the General Manager and the executive apparatus of the Company in accordance with the provisions of the Law, the Company's Charter and this General Mandate.</w:t>
      </w:r>
    </w:p>
    <w:p w:rsidR="00BF04EA" w:rsidRDefault="00222A56"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gramStart"/>
      <w:r>
        <w:rPr>
          <w:rFonts w:ascii="Arial" w:hAnsi="Arial"/>
          <w:sz w:val="20"/>
        </w:rPr>
        <w:t>Article 3.</w:t>
      </w:r>
      <w:proofErr w:type="gramEnd"/>
      <w:r>
        <w:rPr>
          <w:rFonts w:ascii="Arial" w:hAnsi="Arial"/>
          <w:sz w:val="20"/>
        </w:rPr>
        <w:t xml:space="preserve"> </w:t>
      </w:r>
      <w:r>
        <w:rPr>
          <w:rFonts w:ascii="Arial" w:hAnsi="Arial"/>
          <w:sz w:val="20"/>
        </w:rPr>
        <w:t xml:space="preserve">This General Mandate takes effect from the date of signing; all shareholders </w:t>
      </w:r>
      <w:r>
        <w:rPr>
          <w:rFonts w:ascii="Arial" w:hAnsi="Arial"/>
          <w:sz w:val="20"/>
        </w:rPr>
        <w:t>of Song Da 25 JSC, members of the Board of Directors, members of the Supervisory Board and all employees of the Company are responsible for implementing this General Mandate./.</w:t>
      </w:r>
    </w:p>
    <w:p w:rsidR="00BF04EA" w:rsidRDefault="00BF04EA" w:rsidP="008E39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p>
    <w:sectPr w:rsidR="00BF04EA">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035"/>
    <w:multiLevelType w:val="multilevel"/>
    <w:tmpl w:val="C33EA2D6"/>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8E0096"/>
    <w:multiLevelType w:val="multilevel"/>
    <w:tmpl w:val="63B8FB9E"/>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4D85DBE"/>
    <w:multiLevelType w:val="multilevel"/>
    <w:tmpl w:val="06A42A1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996FB6"/>
    <w:multiLevelType w:val="multilevel"/>
    <w:tmpl w:val="D6DC661A"/>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CD02A1"/>
    <w:multiLevelType w:val="multilevel"/>
    <w:tmpl w:val="2346BE28"/>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Zero"/>
      <w:lvlText w:val="%1.%2.%3."/>
      <w:lvlJc w:val="left"/>
      <w:pPr>
        <w:ind w:left="1080" w:hanging="720"/>
      </w:pPr>
      <w:rPr>
        <w:rFonts w:ascii="Arial" w:eastAsia="Arial" w:hAnsi="Arial" w:cs="Arial"/>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406806AE"/>
    <w:multiLevelType w:val="multilevel"/>
    <w:tmpl w:val="CFFA5A28"/>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7873B1"/>
    <w:multiLevelType w:val="multilevel"/>
    <w:tmpl w:val="406C029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6601655"/>
    <w:multiLevelType w:val="multilevel"/>
    <w:tmpl w:val="C7C6701E"/>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48093EFE"/>
    <w:multiLevelType w:val="multilevel"/>
    <w:tmpl w:val="C7A0F0BC"/>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4C104B72"/>
    <w:multiLevelType w:val="multilevel"/>
    <w:tmpl w:val="404631CE"/>
    <w:lvl w:ilvl="0">
      <w:start w:val="1"/>
      <w:numFmt w:val="decimal"/>
      <w:lvlText w:val="%1-"/>
      <w:lvlJc w:val="left"/>
      <w:pPr>
        <w:ind w:left="560" w:hanging="360"/>
      </w:pPr>
      <w:rPr>
        <w:rFonts w:ascii="Arial" w:eastAsia="Arial" w:hAnsi="Arial" w:cs="Arial"/>
        <w:b w:val="0"/>
        <w:i w:val="0"/>
        <w:sz w:val="20"/>
        <w:szCs w:val="20"/>
        <w:u w:val="none"/>
      </w:rPr>
    </w:lvl>
    <w:lvl w:ilvl="1">
      <w:start w:val="1"/>
      <w:numFmt w:val="lowerLetter"/>
      <w:lvlText w:val="%2."/>
      <w:lvlJc w:val="left"/>
      <w:pPr>
        <w:ind w:left="1280" w:hanging="360"/>
      </w:pPr>
      <w:rPr>
        <w:rFonts w:ascii="Arial" w:eastAsia="Arial" w:hAnsi="Arial" w:cs="Arial"/>
        <w:b w:val="0"/>
        <w:i w:val="0"/>
        <w:sz w:val="20"/>
        <w:szCs w:val="20"/>
      </w:rPr>
    </w:lvl>
    <w:lvl w:ilvl="2">
      <w:start w:val="1"/>
      <w:numFmt w:val="lowerRoman"/>
      <w:lvlText w:val="%3."/>
      <w:lvlJc w:val="right"/>
      <w:pPr>
        <w:ind w:left="2000" w:hanging="180"/>
      </w:pPr>
      <w:rPr>
        <w:rFonts w:ascii="Arial" w:eastAsia="Arial" w:hAnsi="Arial" w:cs="Arial"/>
        <w:b w:val="0"/>
        <w:i w:val="0"/>
        <w:sz w:val="20"/>
        <w:szCs w:val="20"/>
      </w:r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10">
    <w:nsid w:val="53F6539B"/>
    <w:multiLevelType w:val="multilevel"/>
    <w:tmpl w:val="3CEA58A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5DC3226"/>
    <w:multiLevelType w:val="multilevel"/>
    <w:tmpl w:val="21C28A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C806C71"/>
    <w:multiLevelType w:val="multilevel"/>
    <w:tmpl w:val="02A60AE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41F39F9"/>
    <w:multiLevelType w:val="multilevel"/>
    <w:tmpl w:val="940C16F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B260E3"/>
    <w:multiLevelType w:val="multilevel"/>
    <w:tmpl w:val="5D645300"/>
    <w:lvl w:ilvl="0">
      <w:start w:val="2"/>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920" w:hanging="360"/>
      </w:pPr>
      <w:rPr>
        <w:rFonts w:ascii="Arial" w:eastAsia="Arial" w:hAnsi="Arial" w:cs="Arial"/>
        <w:b w:val="0"/>
        <w:i w:val="0"/>
        <w:sz w:val="20"/>
        <w:szCs w:val="20"/>
      </w:rPr>
    </w:lvl>
    <w:lvl w:ilvl="2">
      <w:start w:val="1"/>
      <w:numFmt w:val="decimal"/>
      <w:lvlText w:val="%1.%2.%3."/>
      <w:lvlJc w:val="left"/>
      <w:pPr>
        <w:ind w:left="1840" w:hanging="720"/>
      </w:pPr>
      <w:rPr>
        <w:rFonts w:ascii="Arial" w:eastAsia="Arial" w:hAnsi="Arial" w:cs="Arial"/>
        <w:b w:val="0"/>
        <w:i w:val="0"/>
        <w:sz w:val="20"/>
        <w:szCs w:val="20"/>
      </w:rPr>
    </w:lvl>
    <w:lvl w:ilvl="3">
      <w:start w:val="1"/>
      <w:numFmt w:val="decimal"/>
      <w:lvlText w:val="%1.%2.%3.%4."/>
      <w:lvlJc w:val="left"/>
      <w:pPr>
        <w:ind w:left="2400" w:hanging="720"/>
      </w:pPr>
      <w:rPr>
        <w:b/>
      </w:rPr>
    </w:lvl>
    <w:lvl w:ilvl="4">
      <w:start w:val="1"/>
      <w:numFmt w:val="decimal"/>
      <w:lvlText w:val="%1.%2.%3.%4.%5."/>
      <w:lvlJc w:val="left"/>
      <w:pPr>
        <w:ind w:left="3320" w:hanging="1080"/>
      </w:pPr>
      <w:rPr>
        <w:b/>
      </w:rPr>
    </w:lvl>
    <w:lvl w:ilvl="5">
      <w:start w:val="1"/>
      <w:numFmt w:val="decimal"/>
      <w:lvlText w:val="%1.%2.%3.%4.%5.%6."/>
      <w:lvlJc w:val="left"/>
      <w:pPr>
        <w:ind w:left="3880" w:hanging="1080"/>
      </w:pPr>
      <w:rPr>
        <w:b/>
      </w:rPr>
    </w:lvl>
    <w:lvl w:ilvl="6">
      <w:start w:val="1"/>
      <w:numFmt w:val="decimal"/>
      <w:lvlText w:val="%1.%2.%3.%4.%5.%6.%7."/>
      <w:lvlJc w:val="left"/>
      <w:pPr>
        <w:ind w:left="4800" w:hanging="1440"/>
      </w:pPr>
      <w:rPr>
        <w:b/>
      </w:rPr>
    </w:lvl>
    <w:lvl w:ilvl="7">
      <w:start w:val="1"/>
      <w:numFmt w:val="decimal"/>
      <w:lvlText w:val="%1.%2.%3.%4.%5.%6.%7.%8."/>
      <w:lvlJc w:val="left"/>
      <w:pPr>
        <w:ind w:left="5360" w:hanging="1440"/>
      </w:pPr>
      <w:rPr>
        <w:b/>
      </w:rPr>
    </w:lvl>
    <w:lvl w:ilvl="8">
      <w:start w:val="1"/>
      <w:numFmt w:val="decimal"/>
      <w:lvlText w:val="%1.%2.%3.%4.%5.%6.%7.%8.%9."/>
      <w:lvlJc w:val="left"/>
      <w:pPr>
        <w:ind w:left="6280" w:hanging="1800"/>
      </w:pPr>
      <w:rPr>
        <w:b/>
      </w:rPr>
    </w:lvl>
  </w:abstractNum>
  <w:num w:numId="1">
    <w:abstractNumId w:val="4"/>
  </w:num>
  <w:num w:numId="2">
    <w:abstractNumId w:val="12"/>
  </w:num>
  <w:num w:numId="3">
    <w:abstractNumId w:val="9"/>
  </w:num>
  <w:num w:numId="4">
    <w:abstractNumId w:val="2"/>
  </w:num>
  <w:num w:numId="5">
    <w:abstractNumId w:val="14"/>
  </w:num>
  <w:num w:numId="6">
    <w:abstractNumId w:val="6"/>
  </w:num>
  <w:num w:numId="7">
    <w:abstractNumId w:val="7"/>
  </w:num>
  <w:num w:numId="8">
    <w:abstractNumId w:val="10"/>
  </w:num>
  <w:num w:numId="9">
    <w:abstractNumId w:val="13"/>
  </w:num>
  <w:num w:numId="10">
    <w:abstractNumId w:val="11"/>
  </w:num>
  <w:num w:numId="11">
    <w:abstractNumId w:val="0"/>
  </w:num>
  <w:num w:numId="12">
    <w:abstractNumId w:val="5"/>
  </w:num>
  <w:num w:numId="13">
    <w:abstractNumId w:val="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BF04EA"/>
    <w:rsid w:val="00146202"/>
    <w:rsid w:val="00222A56"/>
    <w:rsid w:val="008E3966"/>
    <w:rsid w:val="00B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F5655"/>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F5655"/>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3F565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F5655"/>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F5655"/>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EC585F"/>
      <w:sz w:val="44"/>
      <w:szCs w:val="44"/>
      <w:u w:val="none"/>
      <w:shd w:val="clear" w:color="auto" w:fill="auto"/>
    </w:rPr>
  </w:style>
  <w:style w:type="paragraph" w:customStyle="1" w:styleId="Heading31">
    <w:name w:val="Heading #3"/>
    <w:basedOn w:val="Normal"/>
    <w:link w:val="Heading30"/>
    <w:pPr>
      <w:spacing w:line="216" w:lineRule="auto"/>
      <w:jc w:val="center"/>
      <w:outlineLvl w:val="2"/>
    </w:pPr>
    <w:rPr>
      <w:rFonts w:ascii="Arial" w:eastAsia="Arial" w:hAnsi="Arial" w:cs="Arial"/>
      <w:sz w:val="26"/>
      <w:szCs w:val="26"/>
    </w:rPr>
  </w:style>
  <w:style w:type="paragraph" w:styleId="BodyText">
    <w:name w:val="Body Text"/>
    <w:basedOn w:val="Normal"/>
    <w:link w:val="BodyTextChar"/>
    <w:qFormat/>
    <w:pPr>
      <w:spacing w:line="360" w:lineRule="auto"/>
      <w:ind w:firstLine="200"/>
    </w:pPr>
    <w:rPr>
      <w:rFonts w:ascii="Times New Roman" w:eastAsia="Times New Roman" w:hAnsi="Times New Roman" w:cs="Times New Roman"/>
      <w:color w:val="3F5655"/>
      <w:sz w:val="22"/>
      <w:szCs w:val="22"/>
    </w:rPr>
  </w:style>
  <w:style w:type="paragraph" w:customStyle="1" w:styleId="Bodytext20">
    <w:name w:val="Body text (2)"/>
    <w:basedOn w:val="Normal"/>
    <w:link w:val="Bodytext2"/>
    <w:rPr>
      <w:rFonts w:ascii="Arial" w:eastAsia="Arial" w:hAnsi="Arial" w:cs="Arial"/>
      <w:sz w:val="10"/>
      <w:szCs w:val="10"/>
    </w:rPr>
  </w:style>
  <w:style w:type="paragraph" w:customStyle="1" w:styleId="Heading21">
    <w:name w:val="Heading #2"/>
    <w:basedOn w:val="Normal"/>
    <w:link w:val="Heading20"/>
    <w:pPr>
      <w:outlineLvl w:val="1"/>
    </w:pPr>
    <w:rPr>
      <w:rFonts w:ascii="Times New Roman" w:eastAsia="Times New Roman" w:hAnsi="Times New Roman" w:cs="Times New Roman"/>
      <w:b/>
      <w:bCs/>
      <w:color w:val="3F5655"/>
      <w:sz w:val="30"/>
      <w:szCs w:val="30"/>
    </w:rPr>
  </w:style>
  <w:style w:type="paragraph" w:customStyle="1" w:styleId="Tablecaption0">
    <w:name w:val="Table caption"/>
    <w:basedOn w:val="Normal"/>
    <w:link w:val="Tablecaption"/>
    <w:rPr>
      <w:rFonts w:ascii="Times New Roman" w:eastAsia="Times New Roman" w:hAnsi="Times New Roman" w:cs="Times New Roman"/>
      <w:b/>
      <w:bCs/>
      <w:color w:val="3F5655"/>
    </w:rPr>
  </w:style>
  <w:style w:type="paragraph" w:customStyle="1" w:styleId="Other0">
    <w:name w:val="Other"/>
    <w:basedOn w:val="Normal"/>
    <w:link w:val="Other"/>
    <w:pPr>
      <w:spacing w:line="360" w:lineRule="auto"/>
      <w:ind w:firstLine="200"/>
    </w:pPr>
    <w:rPr>
      <w:rFonts w:ascii="Times New Roman" w:eastAsia="Times New Roman" w:hAnsi="Times New Roman" w:cs="Times New Roman"/>
      <w:color w:val="3F5655"/>
      <w:sz w:val="22"/>
      <w:szCs w:val="22"/>
    </w:rPr>
  </w:style>
  <w:style w:type="paragraph" w:customStyle="1" w:styleId="Bodytext30">
    <w:name w:val="Body text (3)"/>
    <w:basedOn w:val="Normal"/>
    <w:link w:val="Bodytext3"/>
    <w:pPr>
      <w:spacing w:line="348" w:lineRule="auto"/>
    </w:pPr>
    <w:rPr>
      <w:rFonts w:ascii="Times New Roman" w:eastAsia="Times New Roman" w:hAnsi="Times New Roman" w:cs="Times New Roman"/>
      <w:color w:val="3F5655"/>
      <w:sz w:val="22"/>
      <w:szCs w:val="22"/>
    </w:rPr>
  </w:style>
  <w:style w:type="paragraph" w:customStyle="1" w:styleId="Heading11">
    <w:name w:val="Heading #1"/>
    <w:basedOn w:val="Normal"/>
    <w:link w:val="Heading10"/>
    <w:pPr>
      <w:spacing w:line="180" w:lineRule="auto"/>
      <w:outlineLvl w:val="0"/>
    </w:pPr>
    <w:rPr>
      <w:rFonts w:ascii="Arial" w:eastAsia="Arial" w:hAnsi="Arial" w:cs="Arial"/>
      <w:color w:val="EC585F"/>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F5655"/>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F5655"/>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3F565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F5655"/>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F5655"/>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EC585F"/>
      <w:sz w:val="44"/>
      <w:szCs w:val="44"/>
      <w:u w:val="none"/>
      <w:shd w:val="clear" w:color="auto" w:fill="auto"/>
    </w:rPr>
  </w:style>
  <w:style w:type="paragraph" w:customStyle="1" w:styleId="Heading31">
    <w:name w:val="Heading #3"/>
    <w:basedOn w:val="Normal"/>
    <w:link w:val="Heading30"/>
    <w:pPr>
      <w:spacing w:line="216" w:lineRule="auto"/>
      <w:jc w:val="center"/>
      <w:outlineLvl w:val="2"/>
    </w:pPr>
    <w:rPr>
      <w:rFonts w:ascii="Arial" w:eastAsia="Arial" w:hAnsi="Arial" w:cs="Arial"/>
      <w:sz w:val="26"/>
      <w:szCs w:val="26"/>
    </w:rPr>
  </w:style>
  <w:style w:type="paragraph" w:styleId="BodyText">
    <w:name w:val="Body Text"/>
    <w:basedOn w:val="Normal"/>
    <w:link w:val="BodyTextChar"/>
    <w:qFormat/>
    <w:pPr>
      <w:spacing w:line="360" w:lineRule="auto"/>
      <w:ind w:firstLine="200"/>
    </w:pPr>
    <w:rPr>
      <w:rFonts w:ascii="Times New Roman" w:eastAsia="Times New Roman" w:hAnsi="Times New Roman" w:cs="Times New Roman"/>
      <w:color w:val="3F5655"/>
      <w:sz w:val="22"/>
      <w:szCs w:val="22"/>
    </w:rPr>
  </w:style>
  <w:style w:type="paragraph" w:customStyle="1" w:styleId="Bodytext20">
    <w:name w:val="Body text (2)"/>
    <w:basedOn w:val="Normal"/>
    <w:link w:val="Bodytext2"/>
    <w:rPr>
      <w:rFonts w:ascii="Arial" w:eastAsia="Arial" w:hAnsi="Arial" w:cs="Arial"/>
      <w:sz w:val="10"/>
      <w:szCs w:val="10"/>
    </w:rPr>
  </w:style>
  <w:style w:type="paragraph" w:customStyle="1" w:styleId="Heading21">
    <w:name w:val="Heading #2"/>
    <w:basedOn w:val="Normal"/>
    <w:link w:val="Heading20"/>
    <w:pPr>
      <w:outlineLvl w:val="1"/>
    </w:pPr>
    <w:rPr>
      <w:rFonts w:ascii="Times New Roman" w:eastAsia="Times New Roman" w:hAnsi="Times New Roman" w:cs="Times New Roman"/>
      <w:b/>
      <w:bCs/>
      <w:color w:val="3F5655"/>
      <w:sz w:val="30"/>
      <w:szCs w:val="30"/>
    </w:rPr>
  </w:style>
  <w:style w:type="paragraph" w:customStyle="1" w:styleId="Tablecaption0">
    <w:name w:val="Table caption"/>
    <w:basedOn w:val="Normal"/>
    <w:link w:val="Tablecaption"/>
    <w:rPr>
      <w:rFonts w:ascii="Times New Roman" w:eastAsia="Times New Roman" w:hAnsi="Times New Roman" w:cs="Times New Roman"/>
      <w:b/>
      <w:bCs/>
      <w:color w:val="3F5655"/>
    </w:rPr>
  </w:style>
  <w:style w:type="paragraph" w:customStyle="1" w:styleId="Other0">
    <w:name w:val="Other"/>
    <w:basedOn w:val="Normal"/>
    <w:link w:val="Other"/>
    <w:pPr>
      <w:spacing w:line="360" w:lineRule="auto"/>
      <w:ind w:firstLine="200"/>
    </w:pPr>
    <w:rPr>
      <w:rFonts w:ascii="Times New Roman" w:eastAsia="Times New Roman" w:hAnsi="Times New Roman" w:cs="Times New Roman"/>
      <w:color w:val="3F5655"/>
      <w:sz w:val="22"/>
      <w:szCs w:val="22"/>
    </w:rPr>
  </w:style>
  <w:style w:type="paragraph" w:customStyle="1" w:styleId="Bodytext30">
    <w:name w:val="Body text (3)"/>
    <w:basedOn w:val="Normal"/>
    <w:link w:val="Bodytext3"/>
    <w:pPr>
      <w:spacing w:line="348" w:lineRule="auto"/>
    </w:pPr>
    <w:rPr>
      <w:rFonts w:ascii="Times New Roman" w:eastAsia="Times New Roman" w:hAnsi="Times New Roman" w:cs="Times New Roman"/>
      <w:color w:val="3F5655"/>
      <w:sz w:val="22"/>
      <w:szCs w:val="22"/>
    </w:rPr>
  </w:style>
  <w:style w:type="paragraph" w:customStyle="1" w:styleId="Heading11">
    <w:name w:val="Heading #1"/>
    <w:basedOn w:val="Normal"/>
    <w:link w:val="Heading10"/>
    <w:pPr>
      <w:spacing w:line="180" w:lineRule="auto"/>
      <w:outlineLvl w:val="0"/>
    </w:pPr>
    <w:rPr>
      <w:rFonts w:ascii="Arial" w:eastAsia="Arial" w:hAnsi="Arial" w:cs="Arial"/>
      <w:color w:val="EC585F"/>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c/gTH7/1jWVoGvERAbJijPrDQ==">CgMxLjA4AHIhMU9peUJSQkVfTVZhZXBaNGQ4aUpTdFloN1Q3M3RtUDZo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1344</Words>
  <Characters>7661</Characters>
  <Application>Microsoft Office Word</Application>
  <DocSecurity>0</DocSecurity>
  <Lines>63</Lines>
  <Paragraphs>17</Paragraphs>
  <ScaleCrop>false</ScaleCrop>
  <Company>Hewlett-Packard Company</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2024-04-26T01:24:00Z</dcterms:created>
  <dcterms:modified xsi:type="dcterms:W3CDTF">2024-05-02T09:51:00Z</dcterms:modified>
</cp:coreProperties>
</file>