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BFDD" w14:textId="41C706BA" w:rsidR="00360DFA" w:rsidRPr="008003B3" w:rsidRDefault="0009703E" w:rsidP="00CC2477">
      <w:pPr>
        <w:pBdr>
          <w:top w:val="nil"/>
          <w:left w:val="nil"/>
          <w:bottom w:val="nil"/>
          <w:right w:val="nil"/>
          <w:between w:val="nil"/>
        </w:pBdr>
        <w:tabs>
          <w:tab w:val="left" w:pos="4396"/>
        </w:tabs>
        <w:spacing w:after="120" w:line="360" w:lineRule="auto"/>
        <w:jc w:val="both"/>
        <w:rPr>
          <w:rFonts w:ascii="Arial" w:eastAsia="Arial" w:hAnsi="Arial" w:cs="Arial"/>
          <w:b/>
          <w:color w:val="010000"/>
          <w:sz w:val="20"/>
          <w:szCs w:val="20"/>
        </w:rPr>
      </w:pPr>
      <w:r w:rsidRPr="008003B3">
        <w:rPr>
          <w:rFonts w:ascii="Arial" w:hAnsi="Arial" w:cs="Arial"/>
          <w:b/>
          <w:color w:val="010000"/>
          <w:sz w:val="20"/>
        </w:rPr>
        <w:t>UEM: Annual General Mandate 2024</w:t>
      </w:r>
    </w:p>
    <w:p w14:paraId="1F217A99" w14:textId="77777777" w:rsidR="00360DFA" w:rsidRPr="008003B3" w:rsidRDefault="0009703E" w:rsidP="00CC2477">
      <w:pPr>
        <w:pBdr>
          <w:top w:val="nil"/>
          <w:left w:val="nil"/>
          <w:bottom w:val="nil"/>
          <w:right w:val="nil"/>
          <w:between w:val="nil"/>
        </w:pBdr>
        <w:tabs>
          <w:tab w:val="left" w:pos="4396"/>
        </w:tabs>
        <w:spacing w:after="120" w:line="360" w:lineRule="auto"/>
        <w:jc w:val="both"/>
        <w:rPr>
          <w:rFonts w:ascii="Arial" w:eastAsia="Arial" w:hAnsi="Arial" w:cs="Arial"/>
          <w:color w:val="010000"/>
          <w:sz w:val="20"/>
          <w:szCs w:val="20"/>
        </w:rPr>
      </w:pPr>
      <w:r w:rsidRPr="008003B3">
        <w:rPr>
          <w:rFonts w:ascii="Arial" w:hAnsi="Arial" w:cs="Arial"/>
          <w:color w:val="010000"/>
          <w:sz w:val="20"/>
        </w:rPr>
        <w:t xml:space="preserve">On April 17, 2024, </w:t>
      </w:r>
      <w:proofErr w:type="spellStart"/>
      <w:r w:rsidRPr="008003B3">
        <w:rPr>
          <w:rFonts w:ascii="Arial" w:hAnsi="Arial" w:cs="Arial"/>
          <w:color w:val="010000"/>
          <w:sz w:val="20"/>
        </w:rPr>
        <w:t>Uong</w:t>
      </w:r>
      <w:proofErr w:type="spellEnd"/>
      <w:r w:rsidRPr="008003B3">
        <w:rPr>
          <w:rFonts w:ascii="Arial" w:hAnsi="Arial" w:cs="Arial"/>
          <w:color w:val="010000"/>
          <w:sz w:val="20"/>
        </w:rPr>
        <w:t xml:space="preserve"> Bi Electric Mechanical Joint Stock Company announced General Mandate No. 02/2024/NQ-DHDCD as follows: </w:t>
      </w:r>
    </w:p>
    <w:p w14:paraId="6268F5FA"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1.</w:t>
      </w:r>
      <w:proofErr w:type="gramEnd"/>
      <w:r w:rsidRPr="008003B3">
        <w:rPr>
          <w:rFonts w:ascii="Arial" w:hAnsi="Arial" w:cs="Arial"/>
          <w:color w:val="010000"/>
          <w:sz w:val="20"/>
        </w:rPr>
        <w:t xml:space="preserve"> Approve the Report on production and business results 2023; Plan for 2024:</w:t>
      </w:r>
    </w:p>
    <w:p w14:paraId="6FB17313" w14:textId="77777777" w:rsidR="00360DFA" w:rsidRPr="008003B3" w:rsidRDefault="0009703E" w:rsidP="00CC2477">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Production and business results in 2023</w:t>
      </w:r>
    </w:p>
    <w:p w14:paraId="05989864" w14:textId="77777777" w:rsidR="00360DFA" w:rsidRPr="008003B3" w:rsidRDefault="0009703E" w:rsidP="00CC2477">
      <w:pPr>
        <w:numPr>
          <w:ilvl w:val="0"/>
          <w:numId w:val="3"/>
        </w:numPr>
        <w:pBdr>
          <w:top w:val="nil"/>
          <w:left w:val="nil"/>
          <w:bottom w:val="nil"/>
          <w:right w:val="nil"/>
          <w:between w:val="nil"/>
        </w:pBdr>
        <w:tabs>
          <w:tab w:val="left" w:pos="567"/>
          <w:tab w:val="left" w:pos="886"/>
        </w:tabs>
        <w:spacing w:after="120" w:line="360" w:lineRule="auto"/>
        <w:jc w:val="both"/>
        <w:rPr>
          <w:rFonts w:ascii="Arial" w:eastAsia="Arial" w:hAnsi="Arial" w:cs="Arial"/>
          <w:color w:val="010000"/>
          <w:sz w:val="20"/>
          <w:szCs w:val="20"/>
        </w:rPr>
      </w:pPr>
      <w:r w:rsidRPr="008003B3">
        <w:rPr>
          <w:rFonts w:ascii="Arial" w:hAnsi="Arial" w:cs="Arial"/>
          <w:color w:val="010000"/>
          <w:sz w:val="20"/>
        </w:rPr>
        <w:t>Revenue: VND 181.4 billion, reaching 117% of the annual plan, equivalent to 77% of 2022.</w:t>
      </w:r>
    </w:p>
    <w:p w14:paraId="4A1AEACD" w14:textId="77777777" w:rsidR="00360DFA" w:rsidRPr="008003B3" w:rsidRDefault="0009703E" w:rsidP="00CC2477">
      <w:pPr>
        <w:numPr>
          <w:ilvl w:val="0"/>
          <w:numId w:val="3"/>
        </w:numPr>
        <w:pBdr>
          <w:top w:val="nil"/>
          <w:left w:val="nil"/>
          <w:bottom w:val="nil"/>
          <w:right w:val="nil"/>
          <w:between w:val="nil"/>
        </w:pBdr>
        <w:tabs>
          <w:tab w:val="left" w:pos="567"/>
          <w:tab w:val="left" w:pos="810"/>
        </w:tabs>
        <w:spacing w:after="120" w:line="360" w:lineRule="auto"/>
        <w:jc w:val="both"/>
        <w:rPr>
          <w:rFonts w:ascii="Arial" w:eastAsia="Arial" w:hAnsi="Arial" w:cs="Arial"/>
          <w:color w:val="010000"/>
          <w:sz w:val="20"/>
          <w:szCs w:val="20"/>
        </w:rPr>
      </w:pPr>
      <w:r w:rsidRPr="008003B3">
        <w:rPr>
          <w:rFonts w:ascii="Arial" w:hAnsi="Arial" w:cs="Arial"/>
          <w:color w:val="010000"/>
          <w:sz w:val="20"/>
        </w:rPr>
        <w:t>Profit: VND 4.3 billion, reaching 123% of the annual plan, equivalent to 94% of 2022;</w:t>
      </w:r>
    </w:p>
    <w:p w14:paraId="05AE9657" w14:textId="77777777" w:rsidR="00360DFA" w:rsidRPr="008003B3" w:rsidRDefault="0009703E" w:rsidP="00CC2477">
      <w:pPr>
        <w:numPr>
          <w:ilvl w:val="0"/>
          <w:numId w:val="3"/>
        </w:numPr>
        <w:pBdr>
          <w:top w:val="nil"/>
          <w:left w:val="nil"/>
          <w:bottom w:val="nil"/>
          <w:right w:val="nil"/>
          <w:between w:val="nil"/>
        </w:pBdr>
        <w:tabs>
          <w:tab w:val="left" w:pos="567"/>
          <w:tab w:val="left" w:pos="917"/>
        </w:tabs>
        <w:spacing w:after="120" w:line="360" w:lineRule="auto"/>
        <w:jc w:val="both"/>
        <w:rPr>
          <w:rFonts w:ascii="Arial" w:eastAsia="Arial" w:hAnsi="Arial" w:cs="Arial"/>
          <w:color w:val="010000"/>
          <w:sz w:val="20"/>
          <w:szCs w:val="20"/>
        </w:rPr>
      </w:pPr>
      <w:r w:rsidRPr="008003B3">
        <w:rPr>
          <w:rFonts w:ascii="Arial" w:hAnsi="Arial" w:cs="Arial"/>
          <w:color w:val="010000"/>
          <w:sz w:val="20"/>
        </w:rPr>
        <w:t>Return on equity reached 17.4%.</w:t>
      </w:r>
    </w:p>
    <w:p w14:paraId="15CA2F3F" w14:textId="77777777" w:rsidR="00360DFA" w:rsidRPr="008003B3" w:rsidRDefault="0009703E" w:rsidP="00CC2477">
      <w:pPr>
        <w:numPr>
          <w:ilvl w:val="0"/>
          <w:numId w:val="3"/>
        </w:numPr>
        <w:pBdr>
          <w:top w:val="nil"/>
          <w:left w:val="nil"/>
          <w:bottom w:val="nil"/>
          <w:right w:val="nil"/>
          <w:between w:val="nil"/>
        </w:pBdr>
        <w:tabs>
          <w:tab w:val="left" w:pos="567"/>
          <w:tab w:val="left" w:pos="810"/>
        </w:tabs>
        <w:spacing w:after="120" w:line="360" w:lineRule="auto"/>
        <w:jc w:val="both"/>
        <w:rPr>
          <w:rFonts w:ascii="Arial" w:eastAsia="Arial" w:hAnsi="Arial" w:cs="Arial"/>
          <w:color w:val="010000"/>
          <w:sz w:val="20"/>
          <w:szCs w:val="20"/>
        </w:rPr>
      </w:pPr>
      <w:r w:rsidRPr="008003B3">
        <w:rPr>
          <w:rFonts w:ascii="Arial" w:hAnsi="Arial" w:cs="Arial"/>
          <w:color w:val="010000"/>
          <w:sz w:val="20"/>
        </w:rPr>
        <w:t>Average labor during the year: 185 people, equal to 91.5% of the plan, and 97.3% higher than in 2022.</w:t>
      </w:r>
    </w:p>
    <w:p w14:paraId="08833ABD" w14:textId="77777777" w:rsidR="00360DFA" w:rsidRPr="008003B3" w:rsidRDefault="0009703E" w:rsidP="00CC2477">
      <w:pPr>
        <w:numPr>
          <w:ilvl w:val="0"/>
          <w:numId w:val="3"/>
        </w:numPr>
        <w:pBdr>
          <w:top w:val="nil"/>
          <w:left w:val="nil"/>
          <w:bottom w:val="nil"/>
          <w:right w:val="nil"/>
          <w:between w:val="nil"/>
        </w:pBdr>
        <w:tabs>
          <w:tab w:val="left" w:pos="567"/>
          <w:tab w:val="left" w:pos="814"/>
        </w:tabs>
        <w:spacing w:after="120" w:line="360" w:lineRule="auto"/>
        <w:jc w:val="both"/>
        <w:rPr>
          <w:rFonts w:ascii="Arial" w:eastAsia="Arial" w:hAnsi="Arial" w:cs="Arial"/>
          <w:color w:val="010000"/>
          <w:sz w:val="20"/>
          <w:szCs w:val="20"/>
        </w:rPr>
      </w:pPr>
      <w:r w:rsidRPr="008003B3">
        <w:rPr>
          <w:rFonts w:ascii="Arial" w:hAnsi="Arial" w:cs="Arial"/>
          <w:color w:val="010000"/>
          <w:sz w:val="20"/>
        </w:rPr>
        <w:t>Average income reaches VND 11.7 million/person/month, equal to 87.3% compared to 2022.</w:t>
      </w:r>
    </w:p>
    <w:p w14:paraId="2D7116A4" w14:textId="77777777" w:rsidR="00360DFA" w:rsidRPr="008003B3" w:rsidRDefault="0009703E" w:rsidP="00CC2477">
      <w:pPr>
        <w:numPr>
          <w:ilvl w:val="0"/>
          <w:numId w:val="3"/>
        </w:numPr>
        <w:pBdr>
          <w:top w:val="nil"/>
          <w:left w:val="nil"/>
          <w:bottom w:val="nil"/>
          <w:right w:val="nil"/>
          <w:between w:val="nil"/>
        </w:pBdr>
        <w:tabs>
          <w:tab w:val="left" w:pos="567"/>
          <w:tab w:val="left" w:pos="814"/>
        </w:tabs>
        <w:spacing w:after="120" w:line="360" w:lineRule="auto"/>
        <w:jc w:val="both"/>
        <w:rPr>
          <w:rFonts w:ascii="Arial" w:eastAsia="Arial" w:hAnsi="Arial" w:cs="Arial"/>
          <w:color w:val="010000"/>
          <w:sz w:val="20"/>
          <w:szCs w:val="20"/>
        </w:rPr>
      </w:pPr>
      <w:r w:rsidRPr="008003B3">
        <w:rPr>
          <w:rFonts w:ascii="Arial" w:hAnsi="Arial" w:cs="Arial"/>
          <w:color w:val="010000"/>
          <w:sz w:val="20"/>
        </w:rPr>
        <w:t>The average salary reached 11.05 million/person/month, an increase of 22.4% compared to the annual plan and equal to 89% compared to 2022.</w:t>
      </w:r>
    </w:p>
    <w:p w14:paraId="667E4AF9" w14:textId="77777777" w:rsidR="00360DFA" w:rsidRPr="008003B3" w:rsidRDefault="0009703E" w:rsidP="00CC2477">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Production and business plan for 2024</w:t>
      </w:r>
    </w:p>
    <w:p w14:paraId="160F118B" w14:textId="77777777" w:rsidR="00360DFA" w:rsidRPr="008003B3" w:rsidRDefault="0009703E" w:rsidP="00CC2477">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Production value: VND 155 billion;</w:t>
      </w:r>
    </w:p>
    <w:p w14:paraId="5B20C83A" w14:textId="77777777" w:rsidR="00360DFA" w:rsidRPr="008003B3" w:rsidRDefault="0009703E" w:rsidP="00CC2477">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Revenue: VND 155.6 billion;</w:t>
      </w:r>
    </w:p>
    <w:p w14:paraId="13AE44E5" w14:textId="77777777" w:rsidR="00360DFA" w:rsidRPr="008003B3" w:rsidRDefault="0009703E" w:rsidP="00CC2477">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Profit: VND 3.9 billion;</w:t>
      </w:r>
    </w:p>
    <w:p w14:paraId="1F95C748" w14:textId="77777777" w:rsidR="00360DFA" w:rsidRPr="008003B3" w:rsidRDefault="0009703E" w:rsidP="00CC2477">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Average salary: VND 10.319 million/person/month;</w:t>
      </w:r>
    </w:p>
    <w:p w14:paraId="500AD093"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r w:rsidRPr="008003B3">
        <w:rPr>
          <w:rFonts w:ascii="Arial" w:hAnsi="Arial" w:cs="Arial"/>
          <w:color w:val="010000"/>
          <w:sz w:val="20"/>
        </w:rPr>
        <w:t>(Revenue, salary, and profit targets strive to exceed 5% or more of the plan)</w:t>
      </w:r>
    </w:p>
    <w:p w14:paraId="49F072D1"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2.</w:t>
      </w:r>
      <w:proofErr w:type="gramEnd"/>
      <w:r w:rsidRPr="008003B3">
        <w:rPr>
          <w:rFonts w:ascii="Arial" w:hAnsi="Arial" w:cs="Arial"/>
          <w:color w:val="010000"/>
          <w:sz w:val="20"/>
        </w:rPr>
        <w:t xml:space="preserve"> Approve the profit distribution and dividend payment plan for 2023 and the plan 2024.</w:t>
      </w:r>
    </w:p>
    <w:p w14:paraId="2871867B"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r w:rsidRPr="008003B3">
        <w:rPr>
          <w:rFonts w:ascii="Arial" w:hAnsi="Arial" w:cs="Arial"/>
          <w:color w:val="010000"/>
          <w:sz w:val="20"/>
        </w:rPr>
        <w:t>2.1. Plan for profit distribution and dividend payment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4779"/>
        <w:gridCol w:w="1248"/>
        <w:gridCol w:w="2336"/>
      </w:tblGrid>
      <w:tr w:rsidR="00360DFA" w:rsidRPr="008003B3" w14:paraId="163A3A8C" w14:textId="77777777" w:rsidTr="008003B3">
        <w:tc>
          <w:tcPr>
            <w:tcW w:w="378" w:type="pct"/>
            <w:shd w:val="clear" w:color="auto" w:fill="auto"/>
            <w:tcMar>
              <w:top w:w="0" w:type="dxa"/>
              <w:bottom w:w="0" w:type="dxa"/>
            </w:tcMar>
            <w:vAlign w:val="center"/>
          </w:tcPr>
          <w:p w14:paraId="2640EC42"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No.</w:t>
            </w:r>
          </w:p>
        </w:tc>
        <w:tc>
          <w:tcPr>
            <w:tcW w:w="2641" w:type="pct"/>
            <w:shd w:val="clear" w:color="auto" w:fill="auto"/>
            <w:tcMar>
              <w:top w:w="0" w:type="dxa"/>
              <w:bottom w:w="0" w:type="dxa"/>
            </w:tcMar>
            <w:vAlign w:val="center"/>
          </w:tcPr>
          <w:p w14:paraId="23B47612"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Contents</w:t>
            </w:r>
          </w:p>
        </w:tc>
        <w:tc>
          <w:tcPr>
            <w:tcW w:w="690" w:type="pct"/>
            <w:shd w:val="clear" w:color="auto" w:fill="auto"/>
            <w:tcMar>
              <w:top w:w="0" w:type="dxa"/>
              <w:bottom w:w="0" w:type="dxa"/>
            </w:tcMar>
            <w:vAlign w:val="center"/>
          </w:tcPr>
          <w:p w14:paraId="5D225F10"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Rate</w:t>
            </w:r>
          </w:p>
        </w:tc>
        <w:tc>
          <w:tcPr>
            <w:tcW w:w="1291" w:type="pct"/>
            <w:shd w:val="clear" w:color="auto" w:fill="auto"/>
            <w:tcMar>
              <w:top w:w="0" w:type="dxa"/>
              <w:bottom w:w="0" w:type="dxa"/>
            </w:tcMar>
            <w:vAlign w:val="center"/>
          </w:tcPr>
          <w:p w14:paraId="0AA5D071"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Amount</w:t>
            </w:r>
          </w:p>
        </w:tc>
      </w:tr>
      <w:tr w:rsidR="00360DFA" w:rsidRPr="008003B3" w14:paraId="0FD7D6FA" w14:textId="77777777" w:rsidTr="008003B3">
        <w:tc>
          <w:tcPr>
            <w:tcW w:w="378" w:type="pct"/>
            <w:shd w:val="clear" w:color="auto" w:fill="auto"/>
            <w:tcMar>
              <w:top w:w="0" w:type="dxa"/>
              <w:bottom w:w="0" w:type="dxa"/>
            </w:tcMar>
            <w:vAlign w:val="center"/>
          </w:tcPr>
          <w:p w14:paraId="52E4C8E0"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2641" w:type="pct"/>
            <w:shd w:val="clear" w:color="auto" w:fill="auto"/>
            <w:tcMar>
              <w:top w:w="0" w:type="dxa"/>
              <w:bottom w:w="0" w:type="dxa"/>
            </w:tcMar>
            <w:vAlign w:val="center"/>
          </w:tcPr>
          <w:p w14:paraId="2DFB262C"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Profit after tax</w:t>
            </w:r>
          </w:p>
        </w:tc>
        <w:tc>
          <w:tcPr>
            <w:tcW w:w="690" w:type="pct"/>
            <w:shd w:val="clear" w:color="auto" w:fill="auto"/>
            <w:tcMar>
              <w:top w:w="0" w:type="dxa"/>
              <w:bottom w:w="0" w:type="dxa"/>
            </w:tcMar>
            <w:vAlign w:val="center"/>
          </w:tcPr>
          <w:p w14:paraId="16F435F0"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1291" w:type="pct"/>
            <w:shd w:val="clear" w:color="auto" w:fill="auto"/>
            <w:tcMar>
              <w:top w:w="0" w:type="dxa"/>
              <w:bottom w:w="0" w:type="dxa"/>
            </w:tcMar>
            <w:vAlign w:val="center"/>
          </w:tcPr>
          <w:p w14:paraId="31C5E465"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3,272,299,310</w:t>
            </w:r>
          </w:p>
        </w:tc>
      </w:tr>
      <w:tr w:rsidR="00360DFA" w:rsidRPr="008003B3" w14:paraId="1C165CDE" w14:textId="77777777" w:rsidTr="008003B3">
        <w:tc>
          <w:tcPr>
            <w:tcW w:w="378" w:type="pct"/>
            <w:shd w:val="clear" w:color="auto" w:fill="auto"/>
            <w:tcMar>
              <w:top w:w="0" w:type="dxa"/>
              <w:bottom w:w="0" w:type="dxa"/>
            </w:tcMar>
            <w:vAlign w:val="center"/>
          </w:tcPr>
          <w:p w14:paraId="665EF7F4"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1</w:t>
            </w:r>
          </w:p>
        </w:tc>
        <w:tc>
          <w:tcPr>
            <w:tcW w:w="2641" w:type="pct"/>
            <w:shd w:val="clear" w:color="auto" w:fill="auto"/>
            <w:tcMar>
              <w:top w:w="0" w:type="dxa"/>
              <w:bottom w:w="0" w:type="dxa"/>
            </w:tcMar>
            <w:vAlign w:val="center"/>
          </w:tcPr>
          <w:p w14:paraId="645B4240"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Dividend payment (According to Charter capital)</w:t>
            </w:r>
          </w:p>
        </w:tc>
        <w:tc>
          <w:tcPr>
            <w:tcW w:w="690" w:type="pct"/>
            <w:shd w:val="clear" w:color="auto" w:fill="auto"/>
            <w:tcMar>
              <w:top w:w="0" w:type="dxa"/>
              <w:bottom w:w="0" w:type="dxa"/>
            </w:tcMar>
            <w:vAlign w:val="center"/>
          </w:tcPr>
          <w:p w14:paraId="1C097FB2"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10%</w:t>
            </w:r>
          </w:p>
        </w:tc>
        <w:tc>
          <w:tcPr>
            <w:tcW w:w="1291" w:type="pct"/>
            <w:shd w:val="clear" w:color="auto" w:fill="auto"/>
            <w:tcMar>
              <w:top w:w="0" w:type="dxa"/>
              <w:bottom w:w="0" w:type="dxa"/>
            </w:tcMar>
            <w:vAlign w:val="center"/>
          </w:tcPr>
          <w:p w14:paraId="33749F77"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2,438,100,000</w:t>
            </w:r>
          </w:p>
        </w:tc>
      </w:tr>
      <w:tr w:rsidR="00360DFA" w:rsidRPr="008003B3" w14:paraId="6B18E826" w14:textId="77777777" w:rsidTr="008003B3">
        <w:tc>
          <w:tcPr>
            <w:tcW w:w="378" w:type="pct"/>
            <w:shd w:val="clear" w:color="auto" w:fill="auto"/>
            <w:tcMar>
              <w:top w:w="0" w:type="dxa"/>
              <w:bottom w:w="0" w:type="dxa"/>
            </w:tcMar>
            <w:vAlign w:val="center"/>
          </w:tcPr>
          <w:p w14:paraId="20F572D0"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2641" w:type="pct"/>
            <w:shd w:val="clear" w:color="auto" w:fill="auto"/>
            <w:tcMar>
              <w:top w:w="0" w:type="dxa"/>
              <w:bottom w:w="0" w:type="dxa"/>
            </w:tcMar>
            <w:vAlign w:val="center"/>
          </w:tcPr>
          <w:p w14:paraId="034257F4"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In which: Legal entity shareholders (TKV)</w:t>
            </w:r>
          </w:p>
        </w:tc>
        <w:tc>
          <w:tcPr>
            <w:tcW w:w="690" w:type="pct"/>
            <w:shd w:val="clear" w:color="auto" w:fill="auto"/>
            <w:tcMar>
              <w:top w:w="0" w:type="dxa"/>
              <w:bottom w:w="0" w:type="dxa"/>
            </w:tcMar>
            <w:vAlign w:val="center"/>
          </w:tcPr>
          <w:p w14:paraId="2334DC92"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1291" w:type="pct"/>
            <w:shd w:val="clear" w:color="auto" w:fill="auto"/>
            <w:tcMar>
              <w:top w:w="0" w:type="dxa"/>
              <w:bottom w:w="0" w:type="dxa"/>
            </w:tcMar>
            <w:vAlign w:val="center"/>
          </w:tcPr>
          <w:p w14:paraId="3DFE97F8"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862,306,000</w:t>
            </w:r>
          </w:p>
        </w:tc>
      </w:tr>
      <w:tr w:rsidR="00360DFA" w:rsidRPr="008003B3" w14:paraId="48FA51F6" w14:textId="77777777" w:rsidTr="008003B3">
        <w:tc>
          <w:tcPr>
            <w:tcW w:w="378" w:type="pct"/>
            <w:shd w:val="clear" w:color="auto" w:fill="auto"/>
            <w:tcMar>
              <w:top w:w="0" w:type="dxa"/>
              <w:bottom w:w="0" w:type="dxa"/>
            </w:tcMar>
            <w:vAlign w:val="center"/>
          </w:tcPr>
          <w:p w14:paraId="358ED897"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2641" w:type="pct"/>
            <w:shd w:val="clear" w:color="auto" w:fill="auto"/>
            <w:tcMar>
              <w:top w:w="0" w:type="dxa"/>
              <w:bottom w:w="0" w:type="dxa"/>
            </w:tcMar>
            <w:vAlign w:val="center"/>
          </w:tcPr>
          <w:p w14:paraId="4417EA27"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Other shareholders</w:t>
            </w:r>
          </w:p>
        </w:tc>
        <w:tc>
          <w:tcPr>
            <w:tcW w:w="690" w:type="pct"/>
            <w:shd w:val="clear" w:color="auto" w:fill="auto"/>
            <w:tcMar>
              <w:top w:w="0" w:type="dxa"/>
              <w:bottom w:w="0" w:type="dxa"/>
            </w:tcMar>
            <w:vAlign w:val="center"/>
          </w:tcPr>
          <w:p w14:paraId="647EB714"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1291" w:type="pct"/>
            <w:shd w:val="clear" w:color="auto" w:fill="auto"/>
            <w:tcMar>
              <w:top w:w="0" w:type="dxa"/>
              <w:bottom w:w="0" w:type="dxa"/>
            </w:tcMar>
            <w:vAlign w:val="center"/>
          </w:tcPr>
          <w:p w14:paraId="6C425D18"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1,575,794 000</w:t>
            </w:r>
          </w:p>
        </w:tc>
      </w:tr>
      <w:tr w:rsidR="00360DFA" w:rsidRPr="008003B3" w14:paraId="17A5F028" w14:textId="77777777" w:rsidTr="008003B3">
        <w:tc>
          <w:tcPr>
            <w:tcW w:w="378" w:type="pct"/>
            <w:shd w:val="clear" w:color="auto" w:fill="auto"/>
            <w:tcMar>
              <w:top w:w="0" w:type="dxa"/>
              <w:bottom w:w="0" w:type="dxa"/>
            </w:tcMar>
            <w:vAlign w:val="center"/>
          </w:tcPr>
          <w:p w14:paraId="4627281A"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2</w:t>
            </w:r>
          </w:p>
        </w:tc>
        <w:tc>
          <w:tcPr>
            <w:tcW w:w="2641" w:type="pct"/>
            <w:shd w:val="clear" w:color="auto" w:fill="auto"/>
            <w:tcMar>
              <w:top w:w="0" w:type="dxa"/>
              <w:bottom w:w="0" w:type="dxa"/>
            </w:tcMar>
            <w:vAlign w:val="center"/>
          </w:tcPr>
          <w:p w14:paraId="673A5033"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Remaining profit</w:t>
            </w:r>
          </w:p>
        </w:tc>
        <w:tc>
          <w:tcPr>
            <w:tcW w:w="690" w:type="pct"/>
            <w:shd w:val="clear" w:color="auto" w:fill="auto"/>
            <w:tcMar>
              <w:top w:w="0" w:type="dxa"/>
              <w:bottom w:w="0" w:type="dxa"/>
            </w:tcMar>
            <w:vAlign w:val="center"/>
          </w:tcPr>
          <w:p w14:paraId="43239DCD"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1291" w:type="pct"/>
            <w:shd w:val="clear" w:color="auto" w:fill="auto"/>
            <w:tcMar>
              <w:top w:w="0" w:type="dxa"/>
              <w:bottom w:w="0" w:type="dxa"/>
            </w:tcMar>
            <w:vAlign w:val="center"/>
          </w:tcPr>
          <w:p w14:paraId="4869A32E"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834,199,310</w:t>
            </w:r>
          </w:p>
        </w:tc>
      </w:tr>
      <w:tr w:rsidR="00360DFA" w:rsidRPr="008003B3" w14:paraId="78670346" w14:textId="77777777" w:rsidTr="008003B3">
        <w:tc>
          <w:tcPr>
            <w:tcW w:w="378" w:type="pct"/>
            <w:shd w:val="clear" w:color="auto" w:fill="auto"/>
            <w:tcMar>
              <w:top w:w="0" w:type="dxa"/>
              <w:bottom w:w="0" w:type="dxa"/>
            </w:tcMar>
            <w:vAlign w:val="center"/>
          </w:tcPr>
          <w:p w14:paraId="53FAFD34"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2.1</w:t>
            </w:r>
          </w:p>
        </w:tc>
        <w:tc>
          <w:tcPr>
            <w:tcW w:w="2641" w:type="pct"/>
            <w:shd w:val="clear" w:color="auto" w:fill="auto"/>
            <w:tcMar>
              <w:top w:w="0" w:type="dxa"/>
              <w:bottom w:w="0" w:type="dxa"/>
            </w:tcMar>
            <w:vAlign w:val="center"/>
          </w:tcPr>
          <w:p w14:paraId="5ED0A974"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 Development and Investment Fund (no appropriation)</w:t>
            </w:r>
          </w:p>
        </w:tc>
        <w:tc>
          <w:tcPr>
            <w:tcW w:w="690" w:type="pct"/>
            <w:shd w:val="clear" w:color="auto" w:fill="auto"/>
            <w:tcMar>
              <w:top w:w="0" w:type="dxa"/>
              <w:bottom w:w="0" w:type="dxa"/>
            </w:tcMar>
            <w:vAlign w:val="center"/>
          </w:tcPr>
          <w:p w14:paraId="0601A0C2"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1291" w:type="pct"/>
            <w:shd w:val="clear" w:color="auto" w:fill="auto"/>
            <w:tcMar>
              <w:top w:w="0" w:type="dxa"/>
              <w:bottom w:w="0" w:type="dxa"/>
            </w:tcMar>
            <w:vAlign w:val="center"/>
          </w:tcPr>
          <w:p w14:paraId="0780EF3F" w14:textId="77777777" w:rsidR="00360DFA" w:rsidRPr="008003B3" w:rsidRDefault="00360DFA" w:rsidP="008003B3">
            <w:pPr>
              <w:spacing w:after="120" w:line="360" w:lineRule="auto"/>
              <w:jc w:val="right"/>
              <w:rPr>
                <w:rFonts w:ascii="Arial" w:eastAsia="Arial" w:hAnsi="Arial" w:cs="Arial"/>
                <w:color w:val="010000"/>
                <w:sz w:val="20"/>
                <w:szCs w:val="20"/>
              </w:rPr>
            </w:pPr>
          </w:p>
        </w:tc>
      </w:tr>
      <w:tr w:rsidR="00360DFA" w:rsidRPr="008003B3" w14:paraId="2B5D2081" w14:textId="77777777" w:rsidTr="008003B3">
        <w:tc>
          <w:tcPr>
            <w:tcW w:w="378" w:type="pct"/>
            <w:shd w:val="clear" w:color="auto" w:fill="auto"/>
            <w:tcMar>
              <w:top w:w="0" w:type="dxa"/>
              <w:bottom w:w="0" w:type="dxa"/>
            </w:tcMar>
            <w:vAlign w:val="center"/>
          </w:tcPr>
          <w:p w14:paraId="22F587E5"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2.2</w:t>
            </w:r>
          </w:p>
        </w:tc>
        <w:tc>
          <w:tcPr>
            <w:tcW w:w="2641" w:type="pct"/>
            <w:shd w:val="clear" w:color="auto" w:fill="auto"/>
            <w:tcMar>
              <w:top w:w="0" w:type="dxa"/>
              <w:bottom w:w="0" w:type="dxa"/>
            </w:tcMar>
            <w:vAlign w:val="center"/>
          </w:tcPr>
          <w:p w14:paraId="406B3296"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 Appropriation for the bonus fund for the Executive Management Board</w:t>
            </w:r>
          </w:p>
        </w:tc>
        <w:tc>
          <w:tcPr>
            <w:tcW w:w="690" w:type="pct"/>
            <w:shd w:val="clear" w:color="auto" w:fill="auto"/>
            <w:tcMar>
              <w:top w:w="0" w:type="dxa"/>
              <w:bottom w:w="0" w:type="dxa"/>
            </w:tcMar>
            <w:vAlign w:val="center"/>
          </w:tcPr>
          <w:p w14:paraId="6B806886"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1291" w:type="pct"/>
            <w:shd w:val="clear" w:color="auto" w:fill="auto"/>
            <w:tcMar>
              <w:top w:w="0" w:type="dxa"/>
              <w:bottom w:w="0" w:type="dxa"/>
            </w:tcMar>
            <w:vAlign w:val="center"/>
          </w:tcPr>
          <w:p w14:paraId="3836DA2F"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73,000,000</w:t>
            </w:r>
          </w:p>
        </w:tc>
      </w:tr>
      <w:tr w:rsidR="00360DFA" w:rsidRPr="008003B3" w14:paraId="0F8B77AA" w14:textId="77777777" w:rsidTr="008003B3">
        <w:tc>
          <w:tcPr>
            <w:tcW w:w="378" w:type="pct"/>
            <w:shd w:val="clear" w:color="auto" w:fill="auto"/>
            <w:tcMar>
              <w:top w:w="0" w:type="dxa"/>
              <w:bottom w:w="0" w:type="dxa"/>
            </w:tcMar>
            <w:vAlign w:val="center"/>
          </w:tcPr>
          <w:p w14:paraId="2EB4D021"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lastRenderedPageBreak/>
              <w:t>2.3</w:t>
            </w:r>
          </w:p>
        </w:tc>
        <w:tc>
          <w:tcPr>
            <w:tcW w:w="2641" w:type="pct"/>
            <w:shd w:val="clear" w:color="auto" w:fill="auto"/>
            <w:tcMar>
              <w:top w:w="0" w:type="dxa"/>
              <w:bottom w:w="0" w:type="dxa"/>
            </w:tcMar>
            <w:vAlign w:val="center"/>
          </w:tcPr>
          <w:p w14:paraId="69A13E9A"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 Appropriation for bonus and welfare fund</w:t>
            </w:r>
          </w:p>
        </w:tc>
        <w:tc>
          <w:tcPr>
            <w:tcW w:w="690" w:type="pct"/>
            <w:shd w:val="clear" w:color="auto" w:fill="auto"/>
            <w:tcMar>
              <w:top w:w="0" w:type="dxa"/>
              <w:bottom w:w="0" w:type="dxa"/>
            </w:tcMar>
            <w:vAlign w:val="center"/>
          </w:tcPr>
          <w:p w14:paraId="69EB981F" w14:textId="77777777" w:rsidR="00360DFA" w:rsidRPr="008003B3" w:rsidRDefault="00360DFA" w:rsidP="008003B3">
            <w:pPr>
              <w:spacing w:after="120" w:line="360" w:lineRule="auto"/>
              <w:jc w:val="center"/>
              <w:rPr>
                <w:rFonts w:ascii="Arial" w:eastAsia="Arial" w:hAnsi="Arial" w:cs="Arial"/>
                <w:color w:val="010000"/>
                <w:sz w:val="20"/>
                <w:szCs w:val="20"/>
              </w:rPr>
            </w:pPr>
          </w:p>
        </w:tc>
        <w:tc>
          <w:tcPr>
            <w:tcW w:w="1291" w:type="pct"/>
            <w:shd w:val="clear" w:color="auto" w:fill="auto"/>
            <w:tcMar>
              <w:top w:w="0" w:type="dxa"/>
              <w:bottom w:w="0" w:type="dxa"/>
            </w:tcMar>
            <w:vAlign w:val="center"/>
          </w:tcPr>
          <w:p w14:paraId="0E37D8F9"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761,199,310</w:t>
            </w:r>
          </w:p>
        </w:tc>
      </w:tr>
    </w:tbl>
    <w:p w14:paraId="197BBAC3" w14:textId="77777777" w:rsidR="00360DFA" w:rsidRPr="008003B3" w:rsidRDefault="0009703E" w:rsidP="00CC2477">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Plan 2024</w:t>
      </w:r>
    </w:p>
    <w:p w14:paraId="3AB883B6" w14:textId="77777777" w:rsidR="00360DFA" w:rsidRPr="008003B3" w:rsidRDefault="0009703E" w:rsidP="00CC2477">
      <w:pPr>
        <w:numPr>
          <w:ilvl w:val="0"/>
          <w:numId w:val="3"/>
        </w:numPr>
        <w:pBdr>
          <w:top w:val="nil"/>
          <w:left w:val="nil"/>
          <w:bottom w:val="nil"/>
          <w:right w:val="nil"/>
          <w:between w:val="nil"/>
        </w:pBdr>
        <w:tabs>
          <w:tab w:val="left" w:pos="567"/>
          <w:tab w:val="left" w:pos="814"/>
        </w:tabs>
        <w:spacing w:after="120" w:line="360" w:lineRule="auto"/>
        <w:jc w:val="both"/>
        <w:rPr>
          <w:rFonts w:ascii="Arial" w:eastAsia="Arial" w:hAnsi="Arial" w:cs="Arial"/>
          <w:color w:val="010000"/>
          <w:sz w:val="20"/>
          <w:szCs w:val="20"/>
        </w:rPr>
      </w:pPr>
      <w:r w:rsidRPr="008003B3">
        <w:rPr>
          <w:rFonts w:ascii="Arial" w:hAnsi="Arial" w:cs="Arial"/>
          <w:color w:val="010000"/>
          <w:sz w:val="20"/>
        </w:rPr>
        <w:t>The remaining profits are distributed according to the Company's Charter of Organization and Operation and Financial Regulations. The dividend payment rate in 2024 is: 10%.</w:t>
      </w:r>
    </w:p>
    <w:p w14:paraId="53A1B1C9"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3.</w:t>
      </w:r>
      <w:proofErr w:type="gramEnd"/>
      <w:r w:rsidRPr="008003B3">
        <w:rPr>
          <w:rFonts w:ascii="Arial" w:hAnsi="Arial" w:cs="Arial"/>
          <w:color w:val="010000"/>
          <w:sz w:val="20"/>
        </w:rPr>
        <w:t xml:space="preserve"> Approve the Report on remuneration payment of the Board of Directors and the Supervisory Board of the Company in 2023; Remuneration plan for the Board of Directors and the Supervisory Board in 2024:</w:t>
      </w:r>
    </w:p>
    <w:p w14:paraId="7D2E4F99"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r w:rsidRPr="008003B3">
        <w:rPr>
          <w:rFonts w:ascii="Arial" w:hAnsi="Arial" w:cs="Arial"/>
          <w:color w:val="010000"/>
          <w:sz w:val="20"/>
        </w:rPr>
        <w:t>The total remuneration payments of the Board of Directors and the Supervisory Board in 2023 are: VND 385,740,000.</w:t>
      </w:r>
    </w:p>
    <w:p w14:paraId="74B089C7" w14:textId="77777777" w:rsidR="00360DFA" w:rsidRPr="008003B3" w:rsidRDefault="0009703E" w:rsidP="00CC2477">
      <w:pPr>
        <w:numPr>
          <w:ilvl w:val="0"/>
          <w:numId w:val="3"/>
        </w:numPr>
        <w:pBdr>
          <w:top w:val="nil"/>
          <w:left w:val="nil"/>
          <w:bottom w:val="nil"/>
          <w:right w:val="nil"/>
          <w:between w:val="nil"/>
        </w:pBdr>
        <w:tabs>
          <w:tab w:val="left" w:pos="567"/>
          <w:tab w:val="left" w:pos="814"/>
        </w:tabs>
        <w:spacing w:after="120" w:line="360" w:lineRule="auto"/>
        <w:jc w:val="both"/>
        <w:rPr>
          <w:rFonts w:ascii="Arial" w:eastAsia="Arial" w:hAnsi="Arial" w:cs="Arial"/>
          <w:color w:val="010000"/>
          <w:sz w:val="20"/>
          <w:szCs w:val="20"/>
        </w:rPr>
      </w:pPr>
      <w:r w:rsidRPr="008003B3">
        <w:rPr>
          <w:rFonts w:ascii="Arial" w:hAnsi="Arial" w:cs="Arial"/>
          <w:color w:val="010000"/>
          <w:sz w:val="20"/>
        </w:rPr>
        <w:t>Remuneration plan for the Board of Directors and the Supervisory Board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2164"/>
        <w:gridCol w:w="1827"/>
        <w:gridCol w:w="1093"/>
        <w:gridCol w:w="1656"/>
        <w:gridCol w:w="1683"/>
      </w:tblGrid>
      <w:tr w:rsidR="00360DFA" w:rsidRPr="008003B3" w14:paraId="669955CB" w14:textId="77777777" w:rsidTr="008003B3">
        <w:tc>
          <w:tcPr>
            <w:tcW w:w="345" w:type="pct"/>
            <w:shd w:val="clear" w:color="auto" w:fill="auto"/>
            <w:tcMar>
              <w:top w:w="0" w:type="dxa"/>
              <w:bottom w:w="0" w:type="dxa"/>
            </w:tcMar>
            <w:vAlign w:val="center"/>
          </w:tcPr>
          <w:p w14:paraId="33A29865"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No.</w:t>
            </w:r>
          </w:p>
        </w:tc>
        <w:tc>
          <w:tcPr>
            <w:tcW w:w="1196" w:type="pct"/>
            <w:shd w:val="clear" w:color="auto" w:fill="auto"/>
            <w:tcMar>
              <w:top w:w="0" w:type="dxa"/>
              <w:bottom w:w="0" w:type="dxa"/>
            </w:tcMar>
            <w:vAlign w:val="center"/>
          </w:tcPr>
          <w:p w14:paraId="7FBD3354"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Position</w:t>
            </w:r>
          </w:p>
        </w:tc>
        <w:tc>
          <w:tcPr>
            <w:tcW w:w="1010" w:type="pct"/>
            <w:shd w:val="clear" w:color="auto" w:fill="auto"/>
            <w:tcMar>
              <w:top w:w="0" w:type="dxa"/>
              <w:bottom w:w="0" w:type="dxa"/>
            </w:tcMar>
            <w:vAlign w:val="center"/>
          </w:tcPr>
          <w:p w14:paraId="18671926"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Salary for remuneration calculation</w:t>
            </w:r>
          </w:p>
          <w:p w14:paraId="463C958E"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(VND)</w:t>
            </w:r>
          </w:p>
        </w:tc>
        <w:tc>
          <w:tcPr>
            <w:tcW w:w="604" w:type="pct"/>
            <w:shd w:val="clear" w:color="auto" w:fill="auto"/>
            <w:tcMar>
              <w:top w:w="0" w:type="dxa"/>
              <w:bottom w:w="0" w:type="dxa"/>
            </w:tcMar>
            <w:vAlign w:val="center"/>
          </w:tcPr>
          <w:p w14:paraId="1D423EC2"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Rate applied (%)</w:t>
            </w:r>
          </w:p>
        </w:tc>
        <w:tc>
          <w:tcPr>
            <w:tcW w:w="915" w:type="pct"/>
            <w:shd w:val="clear" w:color="auto" w:fill="auto"/>
            <w:tcMar>
              <w:top w:w="0" w:type="dxa"/>
              <w:bottom w:w="0" w:type="dxa"/>
            </w:tcMar>
            <w:vAlign w:val="center"/>
          </w:tcPr>
          <w:p w14:paraId="116E479C"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Monthly remuneration (VND)</w:t>
            </w:r>
          </w:p>
        </w:tc>
        <w:tc>
          <w:tcPr>
            <w:tcW w:w="930" w:type="pct"/>
            <w:shd w:val="clear" w:color="auto" w:fill="auto"/>
            <w:tcMar>
              <w:top w:w="0" w:type="dxa"/>
              <w:bottom w:w="0" w:type="dxa"/>
            </w:tcMar>
            <w:vAlign w:val="center"/>
          </w:tcPr>
          <w:p w14:paraId="4EBDE8D0"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Notes</w:t>
            </w:r>
          </w:p>
        </w:tc>
      </w:tr>
      <w:tr w:rsidR="00360DFA" w:rsidRPr="008003B3" w14:paraId="1CC205A2" w14:textId="77777777" w:rsidTr="008003B3">
        <w:tc>
          <w:tcPr>
            <w:tcW w:w="345" w:type="pct"/>
            <w:shd w:val="clear" w:color="auto" w:fill="auto"/>
            <w:tcMar>
              <w:top w:w="0" w:type="dxa"/>
              <w:bottom w:w="0" w:type="dxa"/>
            </w:tcMar>
            <w:vAlign w:val="center"/>
          </w:tcPr>
          <w:p w14:paraId="237D2B9B"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1</w:t>
            </w:r>
          </w:p>
        </w:tc>
        <w:tc>
          <w:tcPr>
            <w:tcW w:w="1196" w:type="pct"/>
            <w:shd w:val="clear" w:color="auto" w:fill="auto"/>
            <w:tcMar>
              <w:top w:w="0" w:type="dxa"/>
              <w:bottom w:w="0" w:type="dxa"/>
            </w:tcMar>
            <w:vAlign w:val="center"/>
          </w:tcPr>
          <w:p w14:paraId="13FEB181"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Chair of the Board of Directors</w:t>
            </w:r>
          </w:p>
        </w:tc>
        <w:tc>
          <w:tcPr>
            <w:tcW w:w="1010" w:type="pct"/>
            <w:shd w:val="clear" w:color="auto" w:fill="auto"/>
            <w:tcMar>
              <w:top w:w="0" w:type="dxa"/>
              <w:bottom w:w="0" w:type="dxa"/>
            </w:tcMar>
            <w:vAlign w:val="center"/>
          </w:tcPr>
          <w:p w14:paraId="2CEC4D53"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25,700,000</w:t>
            </w:r>
          </w:p>
        </w:tc>
        <w:tc>
          <w:tcPr>
            <w:tcW w:w="604" w:type="pct"/>
            <w:shd w:val="clear" w:color="auto" w:fill="auto"/>
            <w:tcMar>
              <w:top w:w="0" w:type="dxa"/>
              <w:bottom w:w="0" w:type="dxa"/>
            </w:tcMar>
            <w:vAlign w:val="center"/>
          </w:tcPr>
          <w:p w14:paraId="005F2A1F"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20</w:t>
            </w:r>
          </w:p>
        </w:tc>
        <w:tc>
          <w:tcPr>
            <w:tcW w:w="915" w:type="pct"/>
            <w:shd w:val="clear" w:color="auto" w:fill="auto"/>
            <w:tcMar>
              <w:top w:w="0" w:type="dxa"/>
              <w:bottom w:w="0" w:type="dxa"/>
            </w:tcMar>
            <w:vAlign w:val="center"/>
          </w:tcPr>
          <w:p w14:paraId="5DDF86E1"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5,140,000</w:t>
            </w:r>
          </w:p>
        </w:tc>
        <w:tc>
          <w:tcPr>
            <w:tcW w:w="930" w:type="pct"/>
            <w:shd w:val="clear" w:color="auto" w:fill="auto"/>
            <w:tcMar>
              <w:top w:w="0" w:type="dxa"/>
              <w:bottom w:w="0" w:type="dxa"/>
            </w:tcMar>
            <w:vAlign w:val="center"/>
          </w:tcPr>
          <w:p w14:paraId="6346589A" w14:textId="77777777" w:rsidR="00360DFA" w:rsidRPr="008003B3" w:rsidRDefault="00360DFA" w:rsidP="008003B3">
            <w:pPr>
              <w:spacing w:after="120" w:line="360" w:lineRule="auto"/>
              <w:rPr>
                <w:rFonts w:ascii="Arial" w:eastAsia="Arial" w:hAnsi="Arial" w:cs="Arial"/>
                <w:color w:val="010000"/>
                <w:sz w:val="20"/>
                <w:szCs w:val="20"/>
              </w:rPr>
            </w:pPr>
          </w:p>
        </w:tc>
      </w:tr>
      <w:tr w:rsidR="00360DFA" w:rsidRPr="008003B3" w14:paraId="5D7FA064" w14:textId="77777777" w:rsidTr="008003B3">
        <w:tc>
          <w:tcPr>
            <w:tcW w:w="345" w:type="pct"/>
            <w:shd w:val="clear" w:color="auto" w:fill="auto"/>
            <w:tcMar>
              <w:top w:w="0" w:type="dxa"/>
              <w:bottom w:w="0" w:type="dxa"/>
            </w:tcMar>
            <w:vAlign w:val="center"/>
          </w:tcPr>
          <w:p w14:paraId="5A5ECABA"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2</w:t>
            </w:r>
          </w:p>
        </w:tc>
        <w:tc>
          <w:tcPr>
            <w:tcW w:w="1196" w:type="pct"/>
            <w:shd w:val="clear" w:color="auto" w:fill="auto"/>
            <w:tcMar>
              <w:top w:w="0" w:type="dxa"/>
              <w:bottom w:w="0" w:type="dxa"/>
            </w:tcMar>
            <w:vAlign w:val="center"/>
          </w:tcPr>
          <w:p w14:paraId="0194283A"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Member of the Board of Directors</w:t>
            </w:r>
          </w:p>
        </w:tc>
        <w:tc>
          <w:tcPr>
            <w:tcW w:w="1010" w:type="pct"/>
            <w:shd w:val="clear" w:color="auto" w:fill="auto"/>
            <w:tcMar>
              <w:top w:w="0" w:type="dxa"/>
              <w:bottom w:w="0" w:type="dxa"/>
            </w:tcMar>
            <w:vAlign w:val="center"/>
          </w:tcPr>
          <w:p w14:paraId="2BD7E6B4"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21,900,000</w:t>
            </w:r>
          </w:p>
        </w:tc>
        <w:tc>
          <w:tcPr>
            <w:tcW w:w="604" w:type="pct"/>
            <w:shd w:val="clear" w:color="auto" w:fill="auto"/>
            <w:tcMar>
              <w:top w:w="0" w:type="dxa"/>
              <w:bottom w:w="0" w:type="dxa"/>
            </w:tcMar>
            <w:vAlign w:val="center"/>
          </w:tcPr>
          <w:p w14:paraId="14BA529F"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20</w:t>
            </w:r>
          </w:p>
        </w:tc>
        <w:tc>
          <w:tcPr>
            <w:tcW w:w="915" w:type="pct"/>
            <w:shd w:val="clear" w:color="auto" w:fill="auto"/>
            <w:tcMar>
              <w:top w:w="0" w:type="dxa"/>
              <w:bottom w:w="0" w:type="dxa"/>
            </w:tcMar>
            <w:vAlign w:val="center"/>
          </w:tcPr>
          <w:p w14:paraId="4B006AD3"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4,380,000</w:t>
            </w:r>
          </w:p>
        </w:tc>
        <w:tc>
          <w:tcPr>
            <w:tcW w:w="930" w:type="pct"/>
            <w:shd w:val="clear" w:color="auto" w:fill="auto"/>
            <w:tcMar>
              <w:top w:w="0" w:type="dxa"/>
              <w:bottom w:w="0" w:type="dxa"/>
            </w:tcMar>
            <w:vAlign w:val="center"/>
          </w:tcPr>
          <w:p w14:paraId="6A0F06AA" w14:textId="77777777" w:rsidR="00360DFA" w:rsidRPr="008003B3" w:rsidRDefault="00360DFA" w:rsidP="008003B3">
            <w:pPr>
              <w:spacing w:after="120" w:line="360" w:lineRule="auto"/>
              <w:rPr>
                <w:rFonts w:ascii="Arial" w:eastAsia="Arial" w:hAnsi="Arial" w:cs="Arial"/>
                <w:color w:val="010000"/>
                <w:sz w:val="20"/>
                <w:szCs w:val="20"/>
              </w:rPr>
            </w:pPr>
          </w:p>
        </w:tc>
      </w:tr>
      <w:tr w:rsidR="00360DFA" w:rsidRPr="008003B3" w14:paraId="2E0EA55A" w14:textId="77777777" w:rsidTr="008003B3">
        <w:tc>
          <w:tcPr>
            <w:tcW w:w="345" w:type="pct"/>
            <w:shd w:val="clear" w:color="auto" w:fill="auto"/>
            <w:tcMar>
              <w:top w:w="0" w:type="dxa"/>
              <w:bottom w:w="0" w:type="dxa"/>
            </w:tcMar>
            <w:vAlign w:val="center"/>
          </w:tcPr>
          <w:p w14:paraId="0439071B"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3</w:t>
            </w:r>
          </w:p>
        </w:tc>
        <w:tc>
          <w:tcPr>
            <w:tcW w:w="1196" w:type="pct"/>
            <w:shd w:val="clear" w:color="auto" w:fill="auto"/>
            <w:tcMar>
              <w:top w:w="0" w:type="dxa"/>
              <w:bottom w:w="0" w:type="dxa"/>
            </w:tcMar>
            <w:vAlign w:val="center"/>
          </w:tcPr>
          <w:p w14:paraId="1AD24411"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Chief of the Supervisory Board</w:t>
            </w:r>
          </w:p>
        </w:tc>
        <w:tc>
          <w:tcPr>
            <w:tcW w:w="1010" w:type="pct"/>
            <w:shd w:val="clear" w:color="auto" w:fill="auto"/>
            <w:tcMar>
              <w:top w:w="0" w:type="dxa"/>
              <w:bottom w:w="0" w:type="dxa"/>
            </w:tcMar>
            <w:vAlign w:val="center"/>
          </w:tcPr>
          <w:p w14:paraId="0F8A0EEE"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22,900,000</w:t>
            </w:r>
          </w:p>
        </w:tc>
        <w:tc>
          <w:tcPr>
            <w:tcW w:w="604" w:type="pct"/>
            <w:shd w:val="clear" w:color="auto" w:fill="auto"/>
            <w:tcMar>
              <w:top w:w="0" w:type="dxa"/>
              <w:bottom w:w="0" w:type="dxa"/>
            </w:tcMar>
            <w:vAlign w:val="center"/>
          </w:tcPr>
          <w:p w14:paraId="3E6B7044"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20</w:t>
            </w:r>
          </w:p>
        </w:tc>
        <w:tc>
          <w:tcPr>
            <w:tcW w:w="915" w:type="pct"/>
            <w:shd w:val="clear" w:color="auto" w:fill="auto"/>
            <w:tcMar>
              <w:top w:w="0" w:type="dxa"/>
              <w:bottom w:w="0" w:type="dxa"/>
            </w:tcMar>
            <w:vAlign w:val="center"/>
          </w:tcPr>
          <w:p w14:paraId="3ABEB632"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4,580,000</w:t>
            </w:r>
          </w:p>
        </w:tc>
        <w:tc>
          <w:tcPr>
            <w:tcW w:w="930" w:type="pct"/>
            <w:shd w:val="clear" w:color="auto" w:fill="auto"/>
            <w:tcMar>
              <w:top w:w="0" w:type="dxa"/>
              <w:bottom w:w="0" w:type="dxa"/>
            </w:tcMar>
            <w:vAlign w:val="center"/>
          </w:tcPr>
          <w:p w14:paraId="41607FAB" w14:textId="77777777" w:rsidR="00360DFA" w:rsidRPr="008003B3" w:rsidRDefault="00360DFA" w:rsidP="008003B3">
            <w:pPr>
              <w:spacing w:after="120" w:line="360" w:lineRule="auto"/>
              <w:rPr>
                <w:rFonts w:ascii="Arial" w:eastAsia="Arial" w:hAnsi="Arial" w:cs="Arial"/>
                <w:color w:val="010000"/>
                <w:sz w:val="20"/>
                <w:szCs w:val="20"/>
              </w:rPr>
            </w:pPr>
          </w:p>
        </w:tc>
      </w:tr>
      <w:tr w:rsidR="00360DFA" w:rsidRPr="008003B3" w14:paraId="41858751" w14:textId="77777777" w:rsidTr="008003B3">
        <w:tc>
          <w:tcPr>
            <w:tcW w:w="345" w:type="pct"/>
            <w:shd w:val="clear" w:color="auto" w:fill="auto"/>
            <w:tcMar>
              <w:top w:w="0" w:type="dxa"/>
              <w:bottom w:w="0" w:type="dxa"/>
            </w:tcMar>
            <w:vAlign w:val="center"/>
          </w:tcPr>
          <w:p w14:paraId="02EA4C8F"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4</w:t>
            </w:r>
          </w:p>
        </w:tc>
        <w:tc>
          <w:tcPr>
            <w:tcW w:w="1196" w:type="pct"/>
            <w:shd w:val="clear" w:color="auto" w:fill="auto"/>
            <w:tcMar>
              <w:top w:w="0" w:type="dxa"/>
              <w:bottom w:w="0" w:type="dxa"/>
            </w:tcMar>
            <w:vAlign w:val="center"/>
          </w:tcPr>
          <w:p w14:paraId="7187BBC6" w14:textId="77777777" w:rsidR="00360DFA" w:rsidRPr="008003B3" w:rsidRDefault="0009703E" w:rsidP="008003B3">
            <w:pPr>
              <w:pBdr>
                <w:top w:val="nil"/>
                <w:left w:val="nil"/>
                <w:bottom w:val="nil"/>
                <w:right w:val="nil"/>
                <w:between w:val="nil"/>
              </w:pBdr>
              <w:spacing w:after="120" w:line="360" w:lineRule="auto"/>
              <w:rPr>
                <w:rFonts w:ascii="Arial" w:eastAsia="Arial" w:hAnsi="Arial" w:cs="Arial"/>
                <w:color w:val="010000"/>
                <w:sz w:val="20"/>
                <w:szCs w:val="20"/>
              </w:rPr>
            </w:pPr>
            <w:r w:rsidRPr="008003B3">
              <w:rPr>
                <w:rFonts w:ascii="Arial" w:hAnsi="Arial" w:cs="Arial"/>
                <w:color w:val="010000"/>
                <w:sz w:val="20"/>
              </w:rPr>
              <w:t>Member of the Supervisory Board</w:t>
            </w:r>
          </w:p>
        </w:tc>
        <w:tc>
          <w:tcPr>
            <w:tcW w:w="1010" w:type="pct"/>
            <w:shd w:val="clear" w:color="auto" w:fill="auto"/>
            <w:tcMar>
              <w:top w:w="0" w:type="dxa"/>
              <w:bottom w:w="0" w:type="dxa"/>
            </w:tcMar>
            <w:vAlign w:val="center"/>
          </w:tcPr>
          <w:p w14:paraId="7F3B931D"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20,000,000</w:t>
            </w:r>
          </w:p>
        </w:tc>
        <w:tc>
          <w:tcPr>
            <w:tcW w:w="604" w:type="pct"/>
            <w:shd w:val="clear" w:color="auto" w:fill="auto"/>
            <w:tcMar>
              <w:top w:w="0" w:type="dxa"/>
              <w:bottom w:w="0" w:type="dxa"/>
            </w:tcMar>
            <w:vAlign w:val="center"/>
          </w:tcPr>
          <w:p w14:paraId="2B87BDF1" w14:textId="77777777" w:rsidR="00360DFA" w:rsidRPr="008003B3" w:rsidRDefault="0009703E" w:rsidP="008003B3">
            <w:pPr>
              <w:pBdr>
                <w:top w:val="nil"/>
                <w:left w:val="nil"/>
                <w:bottom w:val="nil"/>
                <w:right w:val="nil"/>
                <w:between w:val="nil"/>
              </w:pBdr>
              <w:spacing w:after="120" w:line="360" w:lineRule="auto"/>
              <w:jc w:val="center"/>
              <w:rPr>
                <w:rFonts w:ascii="Arial" w:eastAsia="Arial" w:hAnsi="Arial" w:cs="Arial"/>
                <w:color w:val="010000"/>
                <w:sz w:val="20"/>
                <w:szCs w:val="20"/>
              </w:rPr>
            </w:pPr>
            <w:r w:rsidRPr="008003B3">
              <w:rPr>
                <w:rFonts w:ascii="Arial" w:hAnsi="Arial" w:cs="Arial"/>
                <w:color w:val="010000"/>
                <w:sz w:val="20"/>
              </w:rPr>
              <w:t>15</w:t>
            </w:r>
          </w:p>
        </w:tc>
        <w:tc>
          <w:tcPr>
            <w:tcW w:w="915" w:type="pct"/>
            <w:shd w:val="clear" w:color="auto" w:fill="auto"/>
            <w:tcMar>
              <w:top w:w="0" w:type="dxa"/>
              <w:bottom w:w="0" w:type="dxa"/>
            </w:tcMar>
            <w:vAlign w:val="center"/>
          </w:tcPr>
          <w:p w14:paraId="118E8A84" w14:textId="77777777" w:rsidR="00360DFA" w:rsidRPr="008003B3" w:rsidRDefault="0009703E" w:rsidP="008003B3">
            <w:pPr>
              <w:pBdr>
                <w:top w:val="nil"/>
                <w:left w:val="nil"/>
                <w:bottom w:val="nil"/>
                <w:right w:val="nil"/>
                <w:between w:val="nil"/>
              </w:pBdr>
              <w:spacing w:after="120" w:line="360" w:lineRule="auto"/>
              <w:jc w:val="right"/>
              <w:rPr>
                <w:rFonts w:ascii="Arial" w:eastAsia="Arial" w:hAnsi="Arial" w:cs="Arial"/>
                <w:color w:val="010000"/>
                <w:sz w:val="20"/>
                <w:szCs w:val="20"/>
              </w:rPr>
            </w:pPr>
            <w:r w:rsidRPr="008003B3">
              <w:rPr>
                <w:rFonts w:ascii="Arial" w:hAnsi="Arial" w:cs="Arial"/>
                <w:color w:val="010000"/>
                <w:sz w:val="20"/>
              </w:rPr>
              <w:t>3,000,000</w:t>
            </w:r>
          </w:p>
        </w:tc>
        <w:tc>
          <w:tcPr>
            <w:tcW w:w="930" w:type="pct"/>
            <w:shd w:val="clear" w:color="auto" w:fill="auto"/>
            <w:tcMar>
              <w:top w:w="0" w:type="dxa"/>
              <w:bottom w:w="0" w:type="dxa"/>
            </w:tcMar>
            <w:vAlign w:val="center"/>
          </w:tcPr>
          <w:p w14:paraId="246493C4" w14:textId="77777777" w:rsidR="00360DFA" w:rsidRPr="008003B3" w:rsidRDefault="00360DFA" w:rsidP="008003B3">
            <w:pPr>
              <w:spacing w:after="120" w:line="360" w:lineRule="auto"/>
              <w:rPr>
                <w:rFonts w:ascii="Arial" w:eastAsia="Arial" w:hAnsi="Arial" w:cs="Arial"/>
                <w:color w:val="010000"/>
                <w:sz w:val="20"/>
                <w:szCs w:val="20"/>
              </w:rPr>
            </w:pPr>
          </w:p>
        </w:tc>
      </w:tr>
    </w:tbl>
    <w:p w14:paraId="6757D497"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proofErr w:type="gramStart"/>
      <w:r w:rsidRPr="008003B3">
        <w:rPr>
          <w:rFonts w:ascii="Arial" w:hAnsi="Arial" w:cs="Arial"/>
          <w:color w:val="010000"/>
          <w:sz w:val="20"/>
        </w:rPr>
        <w:t>Article 4.</w:t>
      </w:r>
      <w:proofErr w:type="gramEnd"/>
      <w:r w:rsidRPr="008003B3">
        <w:rPr>
          <w:rFonts w:ascii="Arial" w:hAnsi="Arial" w:cs="Arial"/>
          <w:color w:val="010000"/>
          <w:sz w:val="20"/>
        </w:rPr>
        <w:t xml:space="preserve"> Approve the Financial Statements 2023 and Auditor’s report.</w:t>
      </w:r>
    </w:p>
    <w:p w14:paraId="2F8390E7"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5.</w:t>
      </w:r>
      <w:proofErr w:type="gramEnd"/>
      <w:r w:rsidRPr="008003B3">
        <w:rPr>
          <w:rFonts w:ascii="Arial" w:hAnsi="Arial" w:cs="Arial"/>
          <w:color w:val="010000"/>
          <w:sz w:val="20"/>
        </w:rPr>
        <w:t xml:space="preserve"> Approve the Report of the Board of Directors on the results of the Board of Directors' activities in 2023 and tasks for 2024.</w:t>
      </w:r>
    </w:p>
    <w:p w14:paraId="655AC4E8"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6.</w:t>
      </w:r>
      <w:proofErr w:type="gramEnd"/>
      <w:r w:rsidRPr="008003B3">
        <w:rPr>
          <w:rFonts w:ascii="Arial" w:hAnsi="Arial" w:cs="Arial"/>
          <w:color w:val="010000"/>
          <w:sz w:val="20"/>
        </w:rPr>
        <w:t xml:space="preserve"> Approve the Report of the Supervisory Board on the Company's management activities of the Board of Directors and the Executive Manager in 2023 and the appraisal report of the Financial Statements 2023.</w:t>
      </w:r>
    </w:p>
    <w:p w14:paraId="6640F410"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7.</w:t>
      </w:r>
      <w:proofErr w:type="gramEnd"/>
      <w:r w:rsidRPr="008003B3">
        <w:rPr>
          <w:rFonts w:ascii="Arial" w:hAnsi="Arial" w:cs="Arial"/>
          <w:color w:val="010000"/>
          <w:sz w:val="20"/>
        </w:rPr>
        <w:t xml:space="preserve"> Approve the Report on proposing the selection of an audit company to audit the Company's </w:t>
      </w:r>
      <w:proofErr w:type="gramStart"/>
      <w:r w:rsidRPr="008003B3">
        <w:rPr>
          <w:rFonts w:ascii="Arial" w:hAnsi="Arial" w:cs="Arial"/>
          <w:color w:val="010000"/>
          <w:sz w:val="20"/>
        </w:rPr>
        <w:t>semi-annual</w:t>
      </w:r>
      <w:proofErr w:type="gramEnd"/>
      <w:r w:rsidRPr="008003B3">
        <w:rPr>
          <w:rFonts w:ascii="Arial" w:hAnsi="Arial" w:cs="Arial"/>
          <w:color w:val="010000"/>
          <w:sz w:val="20"/>
        </w:rPr>
        <w:t xml:space="preserve"> and annual Financial Statements 2024.</w:t>
      </w:r>
    </w:p>
    <w:p w14:paraId="64DFE659"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r w:rsidRPr="008003B3">
        <w:rPr>
          <w:rFonts w:ascii="Arial" w:hAnsi="Arial" w:cs="Arial"/>
          <w:color w:val="010000"/>
          <w:sz w:val="20"/>
        </w:rPr>
        <w:t xml:space="preserve">Selected company: The Meeting assigned the Board of Directors and Board of Managers to choose one of three audit companies: (BDO Audit Services Co., Ltd, UHY Auditing &amp; Consulting Company Limited, </w:t>
      </w:r>
      <w:proofErr w:type="gramStart"/>
      <w:r w:rsidRPr="008003B3">
        <w:rPr>
          <w:rFonts w:ascii="Arial" w:hAnsi="Arial" w:cs="Arial"/>
          <w:color w:val="010000"/>
          <w:sz w:val="20"/>
        </w:rPr>
        <w:t>Viet</w:t>
      </w:r>
      <w:proofErr w:type="gramEnd"/>
      <w:r w:rsidRPr="008003B3">
        <w:rPr>
          <w:rFonts w:ascii="Arial" w:hAnsi="Arial" w:cs="Arial"/>
          <w:color w:val="010000"/>
          <w:sz w:val="20"/>
        </w:rPr>
        <w:t xml:space="preserve"> Nam Auditing &amp; Evaluation Company Limited) to audit the Company's semi-annual and annual Financial Statements 2024.</w:t>
      </w:r>
    </w:p>
    <w:p w14:paraId="7C94CAAE"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lastRenderedPageBreak/>
        <w:t>Article 8.</w:t>
      </w:r>
      <w:proofErr w:type="gramEnd"/>
      <w:r w:rsidRPr="008003B3">
        <w:rPr>
          <w:rFonts w:ascii="Arial" w:hAnsi="Arial" w:cs="Arial"/>
          <w:color w:val="010000"/>
          <w:sz w:val="20"/>
        </w:rPr>
        <w:t xml:space="preserve"> Approve appointing Mr. Bui Van Tuan (Member of the Capital Management Board of TKV, who represents TKV's capital) to participate in the Board of Directors for the 2020-2025 term.</w:t>
      </w:r>
    </w:p>
    <w:p w14:paraId="73307A0E"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9.</w:t>
      </w:r>
      <w:proofErr w:type="gramEnd"/>
      <w:r w:rsidRPr="008003B3">
        <w:rPr>
          <w:rFonts w:ascii="Arial" w:hAnsi="Arial" w:cs="Arial"/>
          <w:color w:val="010000"/>
          <w:sz w:val="20"/>
        </w:rPr>
        <w:t xml:space="preserve"> Elect Mr. Tran Van Tien to replace Mr. Tran </w:t>
      </w:r>
      <w:proofErr w:type="spellStart"/>
      <w:r w:rsidRPr="008003B3">
        <w:rPr>
          <w:rFonts w:ascii="Arial" w:hAnsi="Arial" w:cs="Arial"/>
          <w:color w:val="010000"/>
          <w:sz w:val="20"/>
        </w:rPr>
        <w:t>Huu</w:t>
      </w:r>
      <w:proofErr w:type="spellEnd"/>
      <w:r w:rsidRPr="008003B3">
        <w:rPr>
          <w:rFonts w:ascii="Arial" w:hAnsi="Arial" w:cs="Arial"/>
          <w:color w:val="010000"/>
          <w:sz w:val="20"/>
        </w:rPr>
        <w:t xml:space="preserve"> Doan as a member of the Company's the Supervisory Board for the 2020-2025 </w:t>
      </w:r>
      <w:proofErr w:type="gramStart"/>
      <w:r w:rsidRPr="008003B3">
        <w:rPr>
          <w:rFonts w:ascii="Arial" w:hAnsi="Arial" w:cs="Arial"/>
          <w:color w:val="010000"/>
          <w:sz w:val="20"/>
        </w:rPr>
        <w:t>term</w:t>
      </w:r>
      <w:proofErr w:type="gramEnd"/>
      <w:r w:rsidRPr="008003B3">
        <w:rPr>
          <w:rFonts w:ascii="Arial" w:hAnsi="Arial" w:cs="Arial"/>
          <w:color w:val="010000"/>
          <w:sz w:val="20"/>
        </w:rPr>
        <w:t>.</w:t>
      </w:r>
    </w:p>
    <w:p w14:paraId="25C76D3D"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10.</w:t>
      </w:r>
      <w:proofErr w:type="gramEnd"/>
      <w:r w:rsidRPr="008003B3">
        <w:rPr>
          <w:rFonts w:ascii="Arial" w:hAnsi="Arial" w:cs="Arial"/>
          <w:color w:val="010000"/>
          <w:sz w:val="20"/>
        </w:rPr>
        <w:t xml:space="preserve"> Supplement the business lines: Manufacturing lifting, lowering and loading equipment (Business line code: 2816) to the Company's business lines.</w:t>
      </w:r>
    </w:p>
    <w:p w14:paraId="6EB68444"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11.</w:t>
      </w:r>
      <w:proofErr w:type="gramEnd"/>
      <w:r w:rsidRPr="008003B3">
        <w:rPr>
          <w:rFonts w:ascii="Arial" w:hAnsi="Arial" w:cs="Arial"/>
          <w:color w:val="010000"/>
          <w:sz w:val="20"/>
        </w:rPr>
        <w:t xml:space="preserve"> Approve the payment of dividends 2023 in cash:</w:t>
      </w:r>
    </w:p>
    <w:p w14:paraId="6AFD0D00" w14:textId="77777777" w:rsidR="00360DFA" w:rsidRPr="008003B3" w:rsidRDefault="0009703E" w:rsidP="00CC2477">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003B3">
        <w:rPr>
          <w:rFonts w:ascii="Arial" w:hAnsi="Arial" w:cs="Arial"/>
          <w:color w:val="010000"/>
          <w:sz w:val="20"/>
        </w:rPr>
        <w:t>Record date to make a list of securities owners to exercise the right to receive cash dividends: May 08, 2024.</w:t>
      </w:r>
    </w:p>
    <w:p w14:paraId="08E8B336" w14:textId="77777777" w:rsidR="00360DFA" w:rsidRPr="008003B3" w:rsidRDefault="0009703E" w:rsidP="00CC2477">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bookmarkStart w:id="1" w:name="_heading=h.gjdgxs"/>
      <w:bookmarkEnd w:id="1"/>
      <w:r w:rsidRPr="008003B3">
        <w:rPr>
          <w:rFonts w:ascii="Arial" w:hAnsi="Arial" w:cs="Arial"/>
          <w:color w:val="010000"/>
          <w:sz w:val="20"/>
        </w:rPr>
        <w:t>Payment date: May 22, 2024.</w:t>
      </w:r>
    </w:p>
    <w:p w14:paraId="622FDBFB"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003B3">
        <w:rPr>
          <w:rFonts w:ascii="Arial" w:hAnsi="Arial" w:cs="Arial"/>
          <w:color w:val="010000"/>
          <w:sz w:val="20"/>
        </w:rPr>
        <w:t>Article 12.</w:t>
      </w:r>
      <w:proofErr w:type="gramEnd"/>
      <w:r w:rsidRPr="008003B3">
        <w:rPr>
          <w:rFonts w:ascii="Arial" w:hAnsi="Arial" w:cs="Arial"/>
          <w:color w:val="010000"/>
          <w:sz w:val="20"/>
        </w:rPr>
        <w:t xml:space="preserve"> The General Meeting of Shareholders authorized the Board of Directors and the Supervisory Board of </w:t>
      </w:r>
      <w:proofErr w:type="spellStart"/>
      <w:r w:rsidRPr="008003B3">
        <w:rPr>
          <w:rFonts w:ascii="Arial" w:hAnsi="Arial" w:cs="Arial"/>
          <w:color w:val="010000"/>
          <w:sz w:val="20"/>
        </w:rPr>
        <w:t>Uong</w:t>
      </w:r>
      <w:proofErr w:type="spellEnd"/>
      <w:r w:rsidRPr="008003B3">
        <w:rPr>
          <w:rFonts w:ascii="Arial" w:hAnsi="Arial" w:cs="Arial"/>
          <w:color w:val="010000"/>
          <w:sz w:val="20"/>
        </w:rPr>
        <w:t xml:space="preserve"> Bi Electric Mechanical Joint Stock Company to organize, deploy, inspect and supervise the implementation of the General Mandate.</w:t>
      </w:r>
    </w:p>
    <w:p w14:paraId="61172351" w14:textId="77777777" w:rsidR="00360DFA" w:rsidRPr="008003B3" w:rsidRDefault="0009703E" w:rsidP="00CC2477">
      <w:pPr>
        <w:pBdr>
          <w:top w:val="nil"/>
          <w:left w:val="nil"/>
          <w:bottom w:val="nil"/>
          <w:right w:val="nil"/>
          <w:between w:val="nil"/>
        </w:pBdr>
        <w:spacing w:after="120" w:line="360" w:lineRule="auto"/>
        <w:jc w:val="both"/>
        <w:rPr>
          <w:rFonts w:ascii="Arial" w:eastAsia="Arial" w:hAnsi="Arial" w:cs="Arial"/>
          <w:color w:val="010000"/>
          <w:sz w:val="20"/>
          <w:szCs w:val="20"/>
        </w:rPr>
      </w:pPr>
      <w:r w:rsidRPr="008003B3">
        <w:rPr>
          <w:rFonts w:ascii="Arial" w:hAnsi="Arial" w:cs="Arial"/>
          <w:color w:val="010000"/>
          <w:sz w:val="20"/>
        </w:rPr>
        <w:t xml:space="preserve">The General Meeting of Shareholders approved the full text of the Annual General Mandate 2024 of </w:t>
      </w:r>
      <w:proofErr w:type="spellStart"/>
      <w:r w:rsidRPr="008003B3">
        <w:rPr>
          <w:rFonts w:ascii="Arial" w:hAnsi="Arial" w:cs="Arial"/>
          <w:color w:val="010000"/>
          <w:sz w:val="20"/>
        </w:rPr>
        <w:t>Uong</w:t>
      </w:r>
      <w:proofErr w:type="spellEnd"/>
      <w:r w:rsidRPr="008003B3">
        <w:rPr>
          <w:rFonts w:ascii="Arial" w:hAnsi="Arial" w:cs="Arial"/>
          <w:color w:val="010000"/>
          <w:sz w:val="20"/>
        </w:rPr>
        <w:t xml:space="preserve"> Bi Electric Mechanical Joint Stock Company.</w:t>
      </w:r>
      <w:bookmarkEnd w:id="0"/>
    </w:p>
    <w:sectPr w:rsidR="00360DFA" w:rsidRPr="008003B3" w:rsidSect="008003B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856"/>
    <w:multiLevelType w:val="multilevel"/>
    <w:tmpl w:val="396AF718"/>
    <w:lvl w:ilvl="0">
      <w:start w:val="2"/>
      <w:numFmt w:val="decimal"/>
      <w:lvlText w:val="2.%1."/>
      <w:lvlJc w:val="left"/>
      <w:pPr>
        <w:ind w:left="0" w:firstLine="0"/>
      </w:pPr>
      <w:rPr>
        <w:rFonts w:ascii="Arial" w:eastAsia="Arial" w:hAnsi="Arial" w:cs="Arial"/>
        <w:b w:val="0"/>
        <w:i w:val="0"/>
        <w:smallCaps w:val="0"/>
        <w:strike w:val="0"/>
        <w:color w:val="2D3233"/>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E97C81"/>
    <w:multiLevelType w:val="multilevel"/>
    <w:tmpl w:val="59FC6E6A"/>
    <w:lvl w:ilvl="0">
      <w:start w:val="1"/>
      <w:numFmt w:val="bullet"/>
      <w:lvlText w:val="-"/>
      <w:lvlJc w:val="left"/>
      <w:pPr>
        <w:ind w:left="0" w:firstLine="0"/>
      </w:pPr>
      <w:rPr>
        <w:rFonts w:ascii="Arial" w:eastAsia="Arial" w:hAnsi="Arial" w:cs="Arial"/>
        <w:b w:val="0"/>
        <w:i w:val="0"/>
        <w:smallCaps w:val="0"/>
        <w:strike w:val="0"/>
        <w:color w:val="2D32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334E8E"/>
    <w:multiLevelType w:val="multilevel"/>
    <w:tmpl w:val="DA06BBD2"/>
    <w:lvl w:ilvl="0">
      <w:start w:val="1"/>
      <w:numFmt w:val="decimal"/>
      <w:lvlText w:val="1.%1."/>
      <w:lvlJc w:val="left"/>
      <w:pPr>
        <w:ind w:left="0" w:firstLine="0"/>
      </w:pPr>
      <w:rPr>
        <w:rFonts w:ascii="Arial" w:eastAsia="Arial" w:hAnsi="Arial" w:cs="Arial"/>
        <w:b w:val="0"/>
        <w:i w:val="0"/>
        <w:smallCaps w:val="0"/>
        <w:strike w:val="0"/>
        <w:color w:val="2D32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FA"/>
    <w:rsid w:val="0009703E"/>
    <w:rsid w:val="00360DFA"/>
    <w:rsid w:val="008003B3"/>
    <w:rsid w:val="00CC247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0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7172D"/>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D3233"/>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D3233"/>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A93144"/>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D3233"/>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D3233"/>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D3233"/>
      <w:sz w:val="26"/>
      <w:szCs w:val="26"/>
      <w:u w:val="none"/>
      <w:shd w:val="clear" w:color="auto" w:fill="auto"/>
    </w:rPr>
  </w:style>
  <w:style w:type="paragraph" w:customStyle="1" w:styleId="Vnbnnidung40">
    <w:name w:val="Văn bản nội dung (4)"/>
    <w:basedOn w:val="Normal"/>
    <w:link w:val="Vnbnnidung4"/>
    <w:rPr>
      <w:rFonts w:ascii="Arial" w:eastAsia="Arial" w:hAnsi="Arial" w:cs="Arial"/>
      <w:color w:val="B7172D"/>
      <w:sz w:val="17"/>
      <w:szCs w:val="17"/>
    </w:rPr>
  </w:style>
  <w:style w:type="paragraph" w:customStyle="1" w:styleId="Vnbnnidung20">
    <w:name w:val="Văn bản nội dung (2)"/>
    <w:basedOn w:val="Normal"/>
    <w:link w:val="Vnbnnidung2"/>
    <w:rPr>
      <w:rFonts w:ascii="Times New Roman" w:eastAsia="Times New Roman" w:hAnsi="Times New Roman" w:cs="Times New Roman"/>
      <w:color w:val="2D3233"/>
      <w:sz w:val="20"/>
      <w:szCs w:val="20"/>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color w:val="2D3233"/>
      <w:sz w:val="26"/>
      <w:szCs w:val="26"/>
    </w:rPr>
  </w:style>
  <w:style w:type="paragraph" w:customStyle="1" w:styleId="Vnbnnidung30">
    <w:name w:val="Văn bản nội dung (3)"/>
    <w:basedOn w:val="Normal"/>
    <w:link w:val="Vnbnnidung3"/>
    <w:pPr>
      <w:spacing w:line="223" w:lineRule="auto"/>
      <w:ind w:left="2160" w:firstLine="360"/>
    </w:pPr>
    <w:rPr>
      <w:rFonts w:ascii="Arial" w:eastAsia="Arial" w:hAnsi="Arial" w:cs="Arial"/>
      <w:smallCaps/>
      <w:color w:val="A93144"/>
      <w:sz w:val="26"/>
      <w:szCs w:val="26"/>
    </w:rPr>
  </w:style>
  <w:style w:type="paragraph" w:customStyle="1" w:styleId="Tiu10">
    <w:name w:val="Tiêu đề #1"/>
    <w:basedOn w:val="Normal"/>
    <w:link w:val="Tiu1"/>
    <w:pPr>
      <w:outlineLvl w:val="0"/>
    </w:pPr>
    <w:rPr>
      <w:rFonts w:ascii="Times New Roman" w:eastAsia="Times New Roman" w:hAnsi="Times New Roman" w:cs="Times New Roman"/>
      <w:b/>
      <w:bCs/>
      <w:color w:val="2D3233"/>
      <w:sz w:val="28"/>
      <w:szCs w:val="28"/>
    </w:rPr>
  </w:style>
  <w:style w:type="paragraph" w:customStyle="1" w:styleId="Khc0">
    <w:name w:val="Khác"/>
    <w:basedOn w:val="Normal"/>
    <w:link w:val="Khc"/>
    <w:pPr>
      <w:spacing w:line="257" w:lineRule="auto"/>
      <w:ind w:firstLine="400"/>
    </w:pPr>
    <w:rPr>
      <w:rFonts w:ascii="Times New Roman" w:eastAsia="Times New Roman" w:hAnsi="Times New Roman" w:cs="Times New Roman"/>
      <w:color w:val="2D3233"/>
      <w:sz w:val="26"/>
      <w:szCs w:val="26"/>
    </w:rPr>
  </w:style>
  <w:style w:type="paragraph" w:customStyle="1" w:styleId="Chthchbng0">
    <w:name w:val="Chú thích bảng"/>
    <w:basedOn w:val="Normal"/>
    <w:link w:val="Chthchbng"/>
    <w:pPr>
      <w:spacing w:line="389" w:lineRule="auto"/>
      <w:jc w:val="right"/>
    </w:pPr>
    <w:rPr>
      <w:rFonts w:ascii="Times New Roman" w:eastAsia="Times New Roman" w:hAnsi="Times New Roman" w:cs="Times New Roman"/>
      <w:color w:val="2D3233"/>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7172D"/>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2D3233"/>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D3233"/>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A93144"/>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D3233"/>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D3233"/>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2D3233"/>
      <w:sz w:val="26"/>
      <w:szCs w:val="26"/>
      <w:u w:val="none"/>
      <w:shd w:val="clear" w:color="auto" w:fill="auto"/>
    </w:rPr>
  </w:style>
  <w:style w:type="paragraph" w:customStyle="1" w:styleId="Vnbnnidung40">
    <w:name w:val="Văn bản nội dung (4)"/>
    <w:basedOn w:val="Normal"/>
    <w:link w:val="Vnbnnidung4"/>
    <w:rPr>
      <w:rFonts w:ascii="Arial" w:eastAsia="Arial" w:hAnsi="Arial" w:cs="Arial"/>
      <w:color w:val="B7172D"/>
      <w:sz w:val="17"/>
      <w:szCs w:val="17"/>
    </w:rPr>
  </w:style>
  <w:style w:type="paragraph" w:customStyle="1" w:styleId="Vnbnnidung20">
    <w:name w:val="Văn bản nội dung (2)"/>
    <w:basedOn w:val="Normal"/>
    <w:link w:val="Vnbnnidung2"/>
    <w:rPr>
      <w:rFonts w:ascii="Times New Roman" w:eastAsia="Times New Roman" w:hAnsi="Times New Roman" w:cs="Times New Roman"/>
      <w:color w:val="2D3233"/>
      <w:sz w:val="20"/>
      <w:szCs w:val="20"/>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color w:val="2D3233"/>
      <w:sz w:val="26"/>
      <w:szCs w:val="26"/>
    </w:rPr>
  </w:style>
  <w:style w:type="paragraph" w:customStyle="1" w:styleId="Vnbnnidung30">
    <w:name w:val="Văn bản nội dung (3)"/>
    <w:basedOn w:val="Normal"/>
    <w:link w:val="Vnbnnidung3"/>
    <w:pPr>
      <w:spacing w:line="223" w:lineRule="auto"/>
      <w:ind w:left="2160" w:firstLine="360"/>
    </w:pPr>
    <w:rPr>
      <w:rFonts w:ascii="Arial" w:eastAsia="Arial" w:hAnsi="Arial" w:cs="Arial"/>
      <w:smallCaps/>
      <w:color w:val="A93144"/>
      <w:sz w:val="26"/>
      <w:szCs w:val="26"/>
    </w:rPr>
  </w:style>
  <w:style w:type="paragraph" w:customStyle="1" w:styleId="Tiu10">
    <w:name w:val="Tiêu đề #1"/>
    <w:basedOn w:val="Normal"/>
    <w:link w:val="Tiu1"/>
    <w:pPr>
      <w:outlineLvl w:val="0"/>
    </w:pPr>
    <w:rPr>
      <w:rFonts w:ascii="Times New Roman" w:eastAsia="Times New Roman" w:hAnsi="Times New Roman" w:cs="Times New Roman"/>
      <w:b/>
      <w:bCs/>
      <w:color w:val="2D3233"/>
      <w:sz w:val="28"/>
      <w:szCs w:val="28"/>
    </w:rPr>
  </w:style>
  <w:style w:type="paragraph" w:customStyle="1" w:styleId="Khc0">
    <w:name w:val="Khác"/>
    <w:basedOn w:val="Normal"/>
    <w:link w:val="Khc"/>
    <w:pPr>
      <w:spacing w:line="257" w:lineRule="auto"/>
      <w:ind w:firstLine="400"/>
    </w:pPr>
    <w:rPr>
      <w:rFonts w:ascii="Times New Roman" w:eastAsia="Times New Roman" w:hAnsi="Times New Roman" w:cs="Times New Roman"/>
      <w:color w:val="2D3233"/>
      <w:sz w:val="26"/>
      <w:szCs w:val="26"/>
    </w:rPr>
  </w:style>
  <w:style w:type="paragraph" w:customStyle="1" w:styleId="Chthchbng0">
    <w:name w:val="Chú thích bảng"/>
    <w:basedOn w:val="Normal"/>
    <w:link w:val="Chthchbng"/>
    <w:pPr>
      <w:spacing w:line="389" w:lineRule="auto"/>
      <w:jc w:val="right"/>
    </w:pPr>
    <w:rPr>
      <w:rFonts w:ascii="Times New Roman" w:eastAsia="Times New Roman" w:hAnsi="Times New Roman" w:cs="Times New Roman"/>
      <w:color w:val="2D3233"/>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LIDpUDKYYeyzVb4lwkFolmnIuA==">CgMxLjAyCGguZ2pkZ3hzOAByITFGQVRXMmJHREsyTUF5ZDB6dE1UVkRCdXluTVJOdTJ6dw==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3863</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2024-04-26T01:43:00Z</dcterms:created>
  <dcterms:modified xsi:type="dcterms:W3CDTF">2024-05-02T08:38:00Z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fada54bc499b964d07e478cd7e31a401afb5384ff8152c6dde5d58933750b6e7</vt:lpwstr>
  </property>
</Properties>
</file>