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6BBA" w14:textId="63A6CD58"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708AA">
        <w:rPr>
          <w:rFonts w:ascii="Arial" w:hAnsi="Arial" w:cs="Arial"/>
          <w:b/>
          <w:color w:val="010000"/>
          <w:sz w:val="20"/>
        </w:rPr>
        <w:t>VCW: Annual General Mandate 2024</w:t>
      </w:r>
    </w:p>
    <w:p w14:paraId="53AB767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 xml:space="preserve">On April 23, 2024, Song Da Water Investment Joint Stock Company announced General Mandate No. 01/2024/NQ-DHDCD as follows: </w:t>
      </w:r>
    </w:p>
    <w:p w14:paraId="73ECA06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Article 1. Approve the following contents:</w:t>
      </w:r>
    </w:p>
    <w:p w14:paraId="57D25BD8" w14:textId="77777777" w:rsidR="00D7029B" w:rsidRPr="001708AA" w:rsidRDefault="000E5937" w:rsidP="00FD0621">
      <w:pPr>
        <w:numPr>
          <w:ilvl w:val="0"/>
          <w:numId w:val="3"/>
        </w:numPr>
        <w:pBdr>
          <w:top w:val="nil"/>
          <w:left w:val="nil"/>
          <w:bottom w:val="nil"/>
          <w:right w:val="nil"/>
          <w:between w:val="nil"/>
        </w:pBdr>
        <w:tabs>
          <w:tab w:val="left" w:pos="432"/>
          <w:tab w:val="left" w:pos="840"/>
        </w:tabs>
        <w:spacing w:after="120" w:line="360" w:lineRule="auto"/>
        <w:rPr>
          <w:rFonts w:ascii="Arial" w:eastAsia="Arial" w:hAnsi="Arial" w:cs="Arial"/>
          <w:color w:val="010000"/>
          <w:sz w:val="20"/>
          <w:szCs w:val="20"/>
        </w:rPr>
      </w:pPr>
      <w:r w:rsidRPr="001708AA">
        <w:rPr>
          <w:rFonts w:ascii="Arial" w:hAnsi="Arial" w:cs="Arial"/>
          <w:color w:val="010000"/>
          <w:sz w:val="20"/>
        </w:rPr>
        <w:t>Approve Report No. 102/2024/BC-HDQT dated March 28, 2024 of the Company's Board of Directors, specifically:</w:t>
      </w:r>
    </w:p>
    <w:p w14:paraId="3C1A51CC" w14:textId="77777777" w:rsidR="00D7029B" w:rsidRPr="001708AA" w:rsidRDefault="000E5937" w:rsidP="00FD062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8AA">
        <w:rPr>
          <w:rFonts w:ascii="Arial" w:hAnsi="Arial" w:cs="Arial"/>
          <w:color w:val="010000"/>
          <w:sz w:val="20"/>
        </w:rPr>
        <w:t>Results of production, business and investment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
        <w:gridCol w:w="2791"/>
        <w:gridCol w:w="1239"/>
        <w:gridCol w:w="1480"/>
        <w:gridCol w:w="1480"/>
        <w:gridCol w:w="1315"/>
      </w:tblGrid>
      <w:tr w:rsidR="00D7029B" w:rsidRPr="001708AA" w14:paraId="3863844D" w14:textId="77777777" w:rsidTr="00FD0621">
        <w:tc>
          <w:tcPr>
            <w:tcW w:w="394" w:type="pct"/>
            <w:shd w:val="clear" w:color="auto" w:fill="auto"/>
            <w:tcMar>
              <w:top w:w="0" w:type="dxa"/>
              <w:bottom w:w="0" w:type="dxa"/>
            </w:tcMar>
            <w:vAlign w:val="center"/>
          </w:tcPr>
          <w:p w14:paraId="58C0E144" w14:textId="77777777" w:rsidR="00D7029B" w:rsidRPr="001708AA" w:rsidRDefault="000E5937" w:rsidP="00FD06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708AA">
              <w:rPr>
                <w:rFonts w:ascii="Arial" w:hAnsi="Arial" w:cs="Arial"/>
                <w:color w:val="010000"/>
                <w:sz w:val="20"/>
              </w:rPr>
              <w:t>No.</w:t>
            </w:r>
          </w:p>
        </w:tc>
        <w:tc>
          <w:tcPr>
            <w:tcW w:w="1548" w:type="pct"/>
            <w:shd w:val="clear" w:color="auto" w:fill="auto"/>
            <w:tcMar>
              <w:top w:w="0" w:type="dxa"/>
              <w:bottom w:w="0" w:type="dxa"/>
            </w:tcMar>
            <w:vAlign w:val="center"/>
          </w:tcPr>
          <w:p w14:paraId="7A8EC59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Item</w:t>
            </w:r>
          </w:p>
        </w:tc>
        <w:tc>
          <w:tcPr>
            <w:tcW w:w="687" w:type="pct"/>
            <w:shd w:val="clear" w:color="auto" w:fill="auto"/>
            <w:tcMar>
              <w:top w:w="0" w:type="dxa"/>
              <w:bottom w:w="0" w:type="dxa"/>
            </w:tcMar>
            <w:vAlign w:val="center"/>
          </w:tcPr>
          <w:p w14:paraId="523F348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Unit</w:t>
            </w:r>
          </w:p>
        </w:tc>
        <w:tc>
          <w:tcPr>
            <w:tcW w:w="821" w:type="pct"/>
            <w:shd w:val="clear" w:color="auto" w:fill="auto"/>
            <w:tcMar>
              <w:top w:w="0" w:type="dxa"/>
              <w:bottom w:w="0" w:type="dxa"/>
            </w:tcMar>
            <w:vAlign w:val="center"/>
          </w:tcPr>
          <w:p w14:paraId="5DCF16D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Plan</w:t>
            </w:r>
          </w:p>
          <w:p w14:paraId="6CAC940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2023</w:t>
            </w:r>
          </w:p>
        </w:tc>
        <w:tc>
          <w:tcPr>
            <w:tcW w:w="821" w:type="pct"/>
            <w:shd w:val="clear" w:color="auto" w:fill="auto"/>
            <w:tcMar>
              <w:top w:w="0" w:type="dxa"/>
              <w:bottom w:w="0" w:type="dxa"/>
            </w:tcMar>
            <w:vAlign w:val="center"/>
          </w:tcPr>
          <w:p w14:paraId="33B8449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Results</w:t>
            </w:r>
          </w:p>
          <w:p w14:paraId="3F2BF93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2023</w:t>
            </w:r>
          </w:p>
        </w:tc>
        <w:tc>
          <w:tcPr>
            <w:tcW w:w="729" w:type="pct"/>
            <w:shd w:val="clear" w:color="auto" w:fill="auto"/>
            <w:tcMar>
              <w:top w:w="0" w:type="dxa"/>
              <w:bottom w:w="0" w:type="dxa"/>
            </w:tcMar>
            <w:vAlign w:val="center"/>
          </w:tcPr>
          <w:p w14:paraId="1503D0AD"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Rate (%)</w:t>
            </w:r>
          </w:p>
          <w:p w14:paraId="4E694AB3"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Results/Plan</w:t>
            </w:r>
          </w:p>
        </w:tc>
      </w:tr>
      <w:tr w:rsidR="00D7029B" w:rsidRPr="001708AA" w14:paraId="588F2975" w14:textId="77777777" w:rsidTr="00FD0621">
        <w:tc>
          <w:tcPr>
            <w:tcW w:w="394" w:type="pct"/>
            <w:shd w:val="clear" w:color="auto" w:fill="auto"/>
            <w:tcMar>
              <w:top w:w="0" w:type="dxa"/>
              <w:bottom w:w="0" w:type="dxa"/>
            </w:tcMar>
            <w:vAlign w:val="center"/>
          </w:tcPr>
          <w:p w14:paraId="5CD75E8E" w14:textId="77777777" w:rsidR="00D7029B" w:rsidRPr="001708AA" w:rsidRDefault="000E5937" w:rsidP="00FD06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708AA">
              <w:rPr>
                <w:rFonts w:ascii="Arial" w:hAnsi="Arial" w:cs="Arial"/>
                <w:color w:val="010000"/>
                <w:sz w:val="20"/>
              </w:rPr>
              <w:t>1</w:t>
            </w:r>
          </w:p>
        </w:tc>
        <w:tc>
          <w:tcPr>
            <w:tcW w:w="1548" w:type="pct"/>
            <w:shd w:val="clear" w:color="auto" w:fill="auto"/>
            <w:tcMar>
              <w:top w:w="0" w:type="dxa"/>
              <w:bottom w:w="0" w:type="dxa"/>
            </w:tcMar>
            <w:vAlign w:val="center"/>
          </w:tcPr>
          <w:p w14:paraId="4D534C9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Total water output</w:t>
            </w:r>
          </w:p>
        </w:tc>
        <w:tc>
          <w:tcPr>
            <w:tcW w:w="687" w:type="pct"/>
            <w:shd w:val="clear" w:color="auto" w:fill="auto"/>
            <w:tcMar>
              <w:top w:w="0" w:type="dxa"/>
              <w:bottom w:w="0" w:type="dxa"/>
            </w:tcMar>
            <w:vAlign w:val="center"/>
          </w:tcPr>
          <w:p w14:paraId="0FAE4959" w14:textId="6F5098F2" w:rsidR="00D7029B" w:rsidRPr="001708AA" w:rsidRDefault="00FD0621" w:rsidP="00FD0621">
            <w:pPr>
              <w:tabs>
                <w:tab w:val="left" w:pos="432"/>
              </w:tabs>
              <w:spacing w:after="120" w:line="360" w:lineRule="auto"/>
              <w:jc w:val="center"/>
              <w:rPr>
                <w:rFonts w:ascii="Arial" w:eastAsia="Arial" w:hAnsi="Arial" w:cs="Arial"/>
                <w:color w:val="010000"/>
                <w:sz w:val="20"/>
                <w:szCs w:val="20"/>
              </w:rPr>
            </w:pPr>
            <w:r w:rsidRPr="001708AA">
              <w:rPr>
                <w:rFonts w:ascii="Arial" w:eastAsia="Arial" w:hAnsi="Arial" w:cs="Arial"/>
                <w:color w:val="010000"/>
                <w:sz w:val="20"/>
                <w:szCs w:val="20"/>
              </w:rPr>
              <w:t>m3</w:t>
            </w:r>
          </w:p>
        </w:tc>
        <w:tc>
          <w:tcPr>
            <w:tcW w:w="821" w:type="pct"/>
            <w:shd w:val="clear" w:color="auto" w:fill="auto"/>
            <w:tcMar>
              <w:top w:w="0" w:type="dxa"/>
              <w:bottom w:w="0" w:type="dxa"/>
            </w:tcMar>
            <w:vAlign w:val="center"/>
          </w:tcPr>
          <w:p w14:paraId="2C40A4E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109,636,785</w:t>
            </w:r>
          </w:p>
        </w:tc>
        <w:tc>
          <w:tcPr>
            <w:tcW w:w="821" w:type="pct"/>
            <w:shd w:val="clear" w:color="auto" w:fill="auto"/>
            <w:tcMar>
              <w:top w:w="0" w:type="dxa"/>
              <w:bottom w:w="0" w:type="dxa"/>
            </w:tcMar>
            <w:vAlign w:val="center"/>
          </w:tcPr>
          <w:p w14:paraId="470366B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111,858,642</w:t>
            </w:r>
          </w:p>
        </w:tc>
        <w:tc>
          <w:tcPr>
            <w:tcW w:w="729" w:type="pct"/>
            <w:shd w:val="clear" w:color="auto" w:fill="auto"/>
            <w:tcMar>
              <w:top w:w="0" w:type="dxa"/>
              <w:bottom w:w="0" w:type="dxa"/>
            </w:tcMar>
            <w:vAlign w:val="center"/>
          </w:tcPr>
          <w:p w14:paraId="6888862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102%</w:t>
            </w:r>
          </w:p>
        </w:tc>
      </w:tr>
      <w:tr w:rsidR="00D7029B" w:rsidRPr="001708AA" w14:paraId="29093550" w14:textId="77777777" w:rsidTr="00FD0621">
        <w:tc>
          <w:tcPr>
            <w:tcW w:w="394" w:type="pct"/>
            <w:shd w:val="clear" w:color="auto" w:fill="auto"/>
            <w:tcMar>
              <w:top w:w="0" w:type="dxa"/>
              <w:bottom w:w="0" w:type="dxa"/>
            </w:tcMar>
            <w:vAlign w:val="center"/>
          </w:tcPr>
          <w:p w14:paraId="07365C8D" w14:textId="77777777" w:rsidR="00D7029B" w:rsidRPr="001708AA" w:rsidRDefault="000E5937" w:rsidP="00FD06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708AA">
              <w:rPr>
                <w:rFonts w:ascii="Arial" w:hAnsi="Arial" w:cs="Arial"/>
                <w:color w:val="010000"/>
                <w:sz w:val="20"/>
              </w:rPr>
              <w:t>2</w:t>
            </w:r>
          </w:p>
        </w:tc>
        <w:tc>
          <w:tcPr>
            <w:tcW w:w="1548" w:type="pct"/>
            <w:shd w:val="clear" w:color="auto" w:fill="auto"/>
            <w:tcMar>
              <w:top w:w="0" w:type="dxa"/>
              <w:bottom w:w="0" w:type="dxa"/>
            </w:tcMar>
            <w:vAlign w:val="center"/>
          </w:tcPr>
          <w:p w14:paraId="4B89480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Revenue from production and business activities</w:t>
            </w:r>
          </w:p>
        </w:tc>
        <w:tc>
          <w:tcPr>
            <w:tcW w:w="687" w:type="pct"/>
            <w:shd w:val="clear" w:color="auto" w:fill="auto"/>
            <w:tcMar>
              <w:top w:w="0" w:type="dxa"/>
              <w:bottom w:w="0" w:type="dxa"/>
            </w:tcMar>
            <w:vAlign w:val="center"/>
          </w:tcPr>
          <w:p w14:paraId="6C9D980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821" w:type="pct"/>
            <w:shd w:val="clear" w:color="auto" w:fill="auto"/>
            <w:tcMar>
              <w:top w:w="0" w:type="dxa"/>
              <w:bottom w:w="0" w:type="dxa"/>
            </w:tcMar>
            <w:vAlign w:val="center"/>
          </w:tcPr>
          <w:p w14:paraId="74DE09B3"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563.990</w:t>
            </w:r>
          </w:p>
        </w:tc>
        <w:tc>
          <w:tcPr>
            <w:tcW w:w="821" w:type="pct"/>
            <w:shd w:val="clear" w:color="auto" w:fill="auto"/>
            <w:tcMar>
              <w:top w:w="0" w:type="dxa"/>
              <w:bottom w:w="0" w:type="dxa"/>
            </w:tcMar>
            <w:vAlign w:val="center"/>
          </w:tcPr>
          <w:p w14:paraId="05270B0C"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573.503</w:t>
            </w:r>
          </w:p>
        </w:tc>
        <w:tc>
          <w:tcPr>
            <w:tcW w:w="729" w:type="pct"/>
            <w:shd w:val="clear" w:color="auto" w:fill="auto"/>
            <w:tcMar>
              <w:top w:w="0" w:type="dxa"/>
              <w:bottom w:w="0" w:type="dxa"/>
            </w:tcMar>
            <w:vAlign w:val="center"/>
          </w:tcPr>
          <w:p w14:paraId="45DF77F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102%</w:t>
            </w:r>
          </w:p>
        </w:tc>
      </w:tr>
      <w:tr w:rsidR="00D7029B" w:rsidRPr="001708AA" w14:paraId="33A1839C" w14:textId="77777777" w:rsidTr="00FD0621">
        <w:tc>
          <w:tcPr>
            <w:tcW w:w="394" w:type="pct"/>
            <w:shd w:val="clear" w:color="auto" w:fill="auto"/>
            <w:tcMar>
              <w:top w:w="0" w:type="dxa"/>
              <w:bottom w:w="0" w:type="dxa"/>
            </w:tcMar>
            <w:vAlign w:val="center"/>
          </w:tcPr>
          <w:p w14:paraId="614F12F4" w14:textId="77777777" w:rsidR="00D7029B" w:rsidRPr="001708AA" w:rsidRDefault="000E5937" w:rsidP="00FD06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708AA">
              <w:rPr>
                <w:rFonts w:ascii="Arial" w:hAnsi="Arial" w:cs="Arial"/>
                <w:color w:val="010000"/>
                <w:sz w:val="20"/>
              </w:rPr>
              <w:t>3</w:t>
            </w:r>
          </w:p>
        </w:tc>
        <w:tc>
          <w:tcPr>
            <w:tcW w:w="1548" w:type="pct"/>
            <w:shd w:val="clear" w:color="auto" w:fill="auto"/>
            <w:tcMar>
              <w:top w:w="0" w:type="dxa"/>
              <w:bottom w:w="0" w:type="dxa"/>
            </w:tcMar>
            <w:vAlign w:val="center"/>
          </w:tcPr>
          <w:p w14:paraId="31971320"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Profit after tax</w:t>
            </w:r>
          </w:p>
        </w:tc>
        <w:tc>
          <w:tcPr>
            <w:tcW w:w="687" w:type="pct"/>
            <w:shd w:val="clear" w:color="auto" w:fill="auto"/>
            <w:tcMar>
              <w:top w:w="0" w:type="dxa"/>
              <w:bottom w:w="0" w:type="dxa"/>
            </w:tcMar>
            <w:vAlign w:val="center"/>
          </w:tcPr>
          <w:p w14:paraId="0BC58F7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821" w:type="pct"/>
            <w:shd w:val="clear" w:color="auto" w:fill="auto"/>
            <w:tcMar>
              <w:top w:w="0" w:type="dxa"/>
              <w:bottom w:w="0" w:type="dxa"/>
            </w:tcMar>
            <w:vAlign w:val="center"/>
          </w:tcPr>
          <w:p w14:paraId="351D7DB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54.379</w:t>
            </w:r>
          </w:p>
        </w:tc>
        <w:tc>
          <w:tcPr>
            <w:tcW w:w="821" w:type="pct"/>
            <w:shd w:val="clear" w:color="auto" w:fill="auto"/>
            <w:tcMar>
              <w:top w:w="0" w:type="dxa"/>
              <w:bottom w:w="0" w:type="dxa"/>
            </w:tcMar>
            <w:vAlign w:val="center"/>
          </w:tcPr>
          <w:p w14:paraId="476D3CE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34.045</w:t>
            </w:r>
          </w:p>
        </w:tc>
        <w:tc>
          <w:tcPr>
            <w:tcW w:w="729" w:type="pct"/>
            <w:shd w:val="clear" w:color="auto" w:fill="auto"/>
            <w:tcMar>
              <w:top w:w="0" w:type="dxa"/>
              <w:bottom w:w="0" w:type="dxa"/>
            </w:tcMar>
            <w:vAlign w:val="center"/>
          </w:tcPr>
          <w:p w14:paraId="44C77A0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63%</w:t>
            </w:r>
          </w:p>
        </w:tc>
      </w:tr>
      <w:tr w:rsidR="00D7029B" w:rsidRPr="001708AA" w14:paraId="1B0A3A3E" w14:textId="77777777" w:rsidTr="00FD0621">
        <w:tc>
          <w:tcPr>
            <w:tcW w:w="394" w:type="pct"/>
            <w:shd w:val="clear" w:color="auto" w:fill="auto"/>
            <w:tcMar>
              <w:top w:w="0" w:type="dxa"/>
              <w:bottom w:w="0" w:type="dxa"/>
            </w:tcMar>
            <w:vAlign w:val="center"/>
          </w:tcPr>
          <w:p w14:paraId="5642D76E" w14:textId="77777777" w:rsidR="00D7029B" w:rsidRPr="001708AA" w:rsidRDefault="000E5937" w:rsidP="00FD06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708AA">
              <w:rPr>
                <w:rFonts w:ascii="Arial" w:hAnsi="Arial" w:cs="Arial"/>
                <w:color w:val="010000"/>
                <w:sz w:val="20"/>
              </w:rPr>
              <w:t>4</w:t>
            </w:r>
          </w:p>
        </w:tc>
        <w:tc>
          <w:tcPr>
            <w:tcW w:w="1548" w:type="pct"/>
            <w:shd w:val="clear" w:color="auto" w:fill="auto"/>
            <w:tcMar>
              <w:top w:w="0" w:type="dxa"/>
              <w:bottom w:w="0" w:type="dxa"/>
            </w:tcMar>
            <w:vAlign w:val="center"/>
          </w:tcPr>
          <w:p w14:paraId="5D4F760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Invest</w:t>
            </w:r>
          </w:p>
        </w:tc>
        <w:tc>
          <w:tcPr>
            <w:tcW w:w="687" w:type="pct"/>
            <w:shd w:val="clear" w:color="auto" w:fill="auto"/>
            <w:tcMar>
              <w:top w:w="0" w:type="dxa"/>
              <w:bottom w:w="0" w:type="dxa"/>
            </w:tcMar>
            <w:vAlign w:val="center"/>
          </w:tcPr>
          <w:p w14:paraId="4C70711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821" w:type="pct"/>
            <w:shd w:val="clear" w:color="auto" w:fill="auto"/>
            <w:tcMar>
              <w:top w:w="0" w:type="dxa"/>
              <w:bottom w:w="0" w:type="dxa"/>
            </w:tcMar>
            <w:vAlign w:val="center"/>
          </w:tcPr>
          <w:p w14:paraId="10AF6B2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1,863.12</w:t>
            </w:r>
          </w:p>
        </w:tc>
        <w:tc>
          <w:tcPr>
            <w:tcW w:w="821" w:type="pct"/>
            <w:shd w:val="clear" w:color="auto" w:fill="auto"/>
            <w:tcMar>
              <w:top w:w="0" w:type="dxa"/>
              <w:bottom w:w="0" w:type="dxa"/>
            </w:tcMar>
            <w:vAlign w:val="center"/>
          </w:tcPr>
          <w:p w14:paraId="34AF85CC"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1,136.42</w:t>
            </w:r>
          </w:p>
        </w:tc>
        <w:tc>
          <w:tcPr>
            <w:tcW w:w="729" w:type="pct"/>
            <w:shd w:val="clear" w:color="auto" w:fill="auto"/>
            <w:tcMar>
              <w:top w:w="0" w:type="dxa"/>
              <w:bottom w:w="0" w:type="dxa"/>
            </w:tcMar>
            <w:vAlign w:val="center"/>
          </w:tcPr>
          <w:p w14:paraId="4CACC4E4"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61%</w:t>
            </w:r>
          </w:p>
        </w:tc>
      </w:tr>
    </w:tbl>
    <w:p w14:paraId="72692713" w14:textId="77777777" w:rsidR="00D7029B" w:rsidRPr="001708AA" w:rsidRDefault="000E5937" w:rsidP="00FD062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8AA">
        <w:rPr>
          <w:rFonts w:ascii="Arial" w:hAnsi="Arial" w:cs="Arial"/>
          <w:color w:val="010000"/>
          <w:sz w:val="20"/>
        </w:rPr>
        <w:t>Plan for production and business activities in 2024 with the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4558"/>
        <w:gridCol w:w="1446"/>
        <w:gridCol w:w="2164"/>
      </w:tblGrid>
      <w:tr w:rsidR="00D7029B" w:rsidRPr="001708AA" w14:paraId="274E768F" w14:textId="77777777" w:rsidTr="00FD0621">
        <w:tc>
          <w:tcPr>
            <w:tcW w:w="470" w:type="pct"/>
            <w:shd w:val="clear" w:color="auto" w:fill="auto"/>
            <w:tcMar>
              <w:top w:w="0" w:type="dxa"/>
              <w:bottom w:w="0" w:type="dxa"/>
            </w:tcMar>
            <w:vAlign w:val="center"/>
          </w:tcPr>
          <w:p w14:paraId="470CF9D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No.</w:t>
            </w:r>
          </w:p>
        </w:tc>
        <w:tc>
          <w:tcPr>
            <w:tcW w:w="2528" w:type="pct"/>
            <w:shd w:val="clear" w:color="auto" w:fill="auto"/>
            <w:tcMar>
              <w:top w:w="0" w:type="dxa"/>
              <w:bottom w:w="0" w:type="dxa"/>
            </w:tcMar>
            <w:vAlign w:val="center"/>
          </w:tcPr>
          <w:p w14:paraId="57D9835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Item</w:t>
            </w:r>
          </w:p>
        </w:tc>
        <w:tc>
          <w:tcPr>
            <w:tcW w:w="802" w:type="pct"/>
            <w:shd w:val="clear" w:color="auto" w:fill="auto"/>
            <w:tcMar>
              <w:top w:w="0" w:type="dxa"/>
              <w:bottom w:w="0" w:type="dxa"/>
            </w:tcMar>
            <w:vAlign w:val="center"/>
          </w:tcPr>
          <w:p w14:paraId="4E90C9C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Unit</w:t>
            </w:r>
          </w:p>
        </w:tc>
        <w:tc>
          <w:tcPr>
            <w:tcW w:w="1200" w:type="pct"/>
            <w:shd w:val="clear" w:color="auto" w:fill="auto"/>
            <w:tcMar>
              <w:top w:w="0" w:type="dxa"/>
              <w:bottom w:w="0" w:type="dxa"/>
            </w:tcMar>
            <w:vAlign w:val="center"/>
          </w:tcPr>
          <w:p w14:paraId="239A502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Plan</w:t>
            </w:r>
          </w:p>
          <w:p w14:paraId="7200E49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2024</w:t>
            </w:r>
          </w:p>
        </w:tc>
      </w:tr>
      <w:tr w:rsidR="00D7029B" w:rsidRPr="001708AA" w14:paraId="6CC56963" w14:textId="77777777" w:rsidTr="00FD0621">
        <w:tc>
          <w:tcPr>
            <w:tcW w:w="470" w:type="pct"/>
            <w:shd w:val="clear" w:color="auto" w:fill="auto"/>
            <w:tcMar>
              <w:top w:w="0" w:type="dxa"/>
              <w:bottom w:w="0" w:type="dxa"/>
            </w:tcMar>
            <w:vAlign w:val="center"/>
          </w:tcPr>
          <w:p w14:paraId="08270F9D"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w:t>
            </w:r>
          </w:p>
        </w:tc>
        <w:tc>
          <w:tcPr>
            <w:tcW w:w="2528" w:type="pct"/>
            <w:shd w:val="clear" w:color="auto" w:fill="auto"/>
            <w:tcMar>
              <w:top w:w="0" w:type="dxa"/>
              <w:bottom w:w="0" w:type="dxa"/>
            </w:tcMar>
            <w:vAlign w:val="center"/>
          </w:tcPr>
          <w:p w14:paraId="5D8EAE5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Total water output</w:t>
            </w:r>
          </w:p>
        </w:tc>
        <w:tc>
          <w:tcPr>
            <w:tcW w:w="802" w:type="pct"/>
            <w:shd w:val="clear" w:color="auto" w:fill="auto"/>
            <w:tcMar>
              <w:top w:w="0" w:type="dxa"/>
              <w:bottom w:w="0" w:type="dxa"/>
            </w:tcMar>
            <w:vAlign w:val="center"/>
          </w:tcPr>
          <w:p w14:paraId="45C2EAD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Million m3</w:t>
            </w:r>
          </w:p>
        </w:tc>
        <w:tc>
          <w:tcPr>
            <w:tcW w:w="1200" w:type="pct"/>
            <w:shd w:val="clear" w:color="auto" w:fill="auto"/>
            <w:tcMar>
              <w:top w:w="0" w:type="dxa"/>
              <w:bottom w:w="0" w:type="dxa"/>
            </w:tcMar>
            <w:vAlign w:val="center"/>
          </w:tcPr>
          <w:p w14:paraId="61B80C8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115.34</w:t>
            </w:r>
          </w:p>
        </w:tc>
      </w:tr>
      <w:tr w:rsidR="00D7029B" w:rsidRPr="001708AA" w14:paraId="579455E2" w14:textId="77777777" w:rsidTr="00FD0621">
        <w:tc>
          <w:tcPr>
            <w:tcW w:w="470" w:type="pct"/>
            <w:shd w:val="clear" w:color="auto" w:fill="auto"/>
            <w:tcMar>
              <w:top w:w="0" w:type="dxa"/>
              <w:bottom w:w="0" w:type="dxa"/>
            </w:tcMar>
            <w:vAlign w:val="center"/>
          </w:tcPr>
          <w:p w14:paraId="6C68ECB4"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w:t>
            </w:r>
          </w:p>
        </w:tc>
        <w:tc>
          <w:tcPr>
            <w:tcW w:w="2528" w:type="pct"/>
            <w:shd w:val="clear" w:color="auto" w:fill="auto"/>
            <w:tcMar>
              <w:top w:w="0" w:type="dxa"/>
              <w:bottom w:w="0" w:type="dxa"/>
            </w:tcMar>
            <w:vAlign w:val="center"/>
          </w:tcPr>
          <w:p w14:paraId="104DAB6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Revenue from production and business activities</w:t>
            </w:r>
          </w:p>
        </w:tc>
        <w:tc>
          <w:tcPr>
            <w:tcW w:w="802" w:type="pct"/>
            <w:shd w:val="clear" w:color="auto" w:fill="auto"/>
            <w:tcMar>
              <w:top w:w="0" w:type="dxa"/>
              <w:bottom w:w="0" w:type="dxa"/>
            </w:tcMar>
            <w:vAlign w:val="center"/>
          </w:tcPr>
          <w:p w14:paraId="0EB56B8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1200" w:type="pct"/>
            <w:shd w:val="clear" w:color="auto" w:fill="auto"/>
            <w:tcMar>
              <w:top w:w="0" w:type="dxa"/>
              <w:bottom w:w="0" w:type="dxa"/>
            </w:tcMar>
            <w:vAlign w:val="center"/>
          </w:tcPr>
          <w:p w14:paraId="60EBF7F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592.09</w:t>
            </w:r>
          </w:p>
        </w:tc>
      </w:tr>
      <w:tr w:rsidR="00D7029B" w:rsidRPr="001708AA" w14:paraId="11F63B55" w14:textId="77777777" w:rsidTr="00FD0621">
        <w:tc>
          <w:tcPr>
            <w:tcW w:w="470" w:type="pct"/>
            <w:shd w:val="clear" w:color="auto" w:fill="auto"/>
            <w:tcMar>
              <w:top w:w="0" w:type="dxa"/>
              <w:bottom w:w="0" w:type="dxa"/>
            </w:tcMar>
            <w:vAlign w:val="center"/>
          </w:tcPr>
          <w:p w14:paraId="70AF9DC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w:t>
            </w:r>
          </w:p>
        </w:tc>
        <w:tc>
          <w:tcPr>
            <w:tcW w:w="2528" w:type="pct"/>
            <w:shd w:val="clear" w:color="auto" w:fill="auto"/>
            <w:tcMar>
              <w:top w:w="0" w:type="dxa"/>
              <w:bottom w:w="0" w:type="dxa"/>
            </w:tcMar>
            <w:vAlign w:val="center"/>
          </w:tcPr>
          <w:p w14:paraId="1C45FED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Expenses</w:t>
            </w:r>
          </w:p>
        </w:tc>
        <w:tc>
          <w:tcPr>
            <w:tcW w:w="802" w:type="pct"/>
            <w:shd w:val="clear" w:color="auto" w:fill="auto"/>
            <w:tcMar>
              <w:top w:w="0" w:type="dxa"/>
              <w:bottom w:w="0" w:type="dxa"/>
            </w:tcMar>
            <w:vAlign w:val="center"/>
          </w:tcPr>
          <w:p w14:paraId="444D721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1200" w:type="pct"/>
            <w:shd w:val="clear" w:color="auto" w:fill="auto"/>
            <w:tcMar>
              <w:top w:w="0" w:type="dxa"/>
              <w:bottom w:w="0" w:type="dxa"/>
            </w:tcMar>
            <w:vAlign w:val="center"/>
          </w:tcPr>
          <w:p w14:paraId="6A1DBD5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690.39</w:t>
            </w:r>
          </w:p>
        </w:tc>
      </w:tr>
      <w:tr w:rsidR="00D7029B" w:rsidRPr="001708AA" w14:paraId="4CA4B22D" w14:textId="77777777" w:rsidTr="00FD0621">
        <w:tc>
          <w:tcPr>
            <w:tcW w:w="470" w:type="pct"/>
            <w:shd w:val="clear" w:color="auto" w:fill="auto"/>
            <w:tcMar>
              <w:top w:w="0" w:type="dxa"/>
              <w:bottom w:w="0" w:type="dxa"/>
            </w:tcMar>
            <w:vAlign w:val="center"/>
          </w:tcPr>
          <w:p w14:paraId="2E4ED53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4</w:t>
            </w:r>
          </w:p>
        </w:tc>
        <w:tc>
          <w:tcPr>
            <w:tcW w:w="2528" w:type="pct"/>
            <w:shd w:val="clear" w:color="auto" w:fill="auto"/>
            <w:tcMar>
              <w:top w:w="0" w:type="dxa"/>
              <w:bottom w:w="0" w:type="dxa"/>
            </w:tcMar>
            <w:vAlign w:val="center"/>
          </w:tcPr>
          <w:p w14:paraId="2157693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Profit after tax</w:t>
            </w:r>
          </w:p>
        </w:tc>
        <w:tc>
          <w:tcPr>
            <w:tcW w:w="802" w:type="pct"/>
            <w:shd w:val="clear" w:color="auto" w:fill="auto"/>
            <w:tcMar>
              <w:top w:w="0" w:type="dxa"/>
              <w:bottom w:w="0" w:type="dxa"/>
            </w:tcMar>
            <w:vAlign w:val="center"/>
          </w:tcPr>
          <w:p w14:paraId="316B431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Billion VND</w:t>
            </w:r>
          </w:p>
        </w:tc>
        <w:tc>
          <w:tcPr>
            <w:tcW w:w="1200" w:type="pct"/>
            <w:shd w:val="clear" w:color="auto" w:fill="auto"/>
            <w:tcMar>
              <w:top w:w="0" w:type="dxa"/>
              <w:bottom w:w="0" w:type="dxa"/>
            </w:tcMar>
            <w:vAlign w:val="center"/>
          </w:tcPr>
          <w:p w14:paraId="7AF96500"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(98.30)</w:t>
            </w:r>
          </w:p>
        </w:tc>
      </w:tr>
    </w:tbl>
    <w:p w14:paraId="6D567347" w14:textId="77777777" w:rsidR="00D7029B" w:rsidRPr="001708AA" w:rsidRDefault="000E5937" w:rsidP="00FD062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8AA">
        <w:rPr>
          <w:rFonts w:ascii="Arial" w:hAnsi="Arial" w:cs="Arial"/>
          <w:color w:val="010000"/>
          <w:sz w:val="20"/>
        </w:rPr>
        <w:t>Investment plan for 2024 with main targets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
        <w:gridCol w:w="3715"/>
        <w:gridCol w:w="2461"/>
        <w:gridCol w:w="2084"/>
      </w:tblGrid>
      <w:tr w:rsidR="00D7029B" w:rsidRPr="001708AA" w14:paraId="3739DAE0" w14:textId="77777777" w:rsidTr="00FD0621">
        <w:tc>
          <w:tcPr>
            <w:tcW w:w="419" w:type="pct"/>
            <w:shd w:val="clear" w:color="auto" w:fill="auto"/>
            <w:tcMar>
              <w:top w:w="0" w:type="dxa"/>
              <w:bottom w:w="0" w:type="dxa"/>
            </w:tcMar>
            <w:vAlign w:val="center"/>
          </w:tcPr>
          <w:p w14:paraId="2891644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No.</w:t>
            </w:r>
          </w:p>
        </w:tc>
        <w:tc>
          <w:tcPr>
            <w:tcW w:w="2060" w:type="pct"/>
            <w:shd w:val="clear" w:color="auto" w:fill="auto"/>
            <w:tcMar>
              <w:top w:w="0" w:type="dxa"/>
              <w:bottom w:w="0" w:type="dxa"/>
            </w:tcMar>
            <w:vAlign w:val="center"/>
          </w:tcPr>
          <w:p w14:paraId="6CBFD60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List of investments</w:t>
            </w:r>
          </w:p>
        </w:tc>
        <w:tc>
          <w:tcPr>
            <w:tcW w:w="1365" w:type="pct"/>
            <w:shd w:val="clear" w:color="auto" w:fill="auto"/>
            <w:tcMar>
              <w:top w:w="0" w:type="dxa"/>
              <w:bottom w:w="0" w:type="dxa"/>
            </w:tcMar>
            <w:vAlign w:val="center"/>
          </w:tcPr>
          <w:p w14:paraId="168277CD"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Capital source plan</w:t>
            </w:r>
          </w:p>
        </w:tc>
        <w:tc>
          <w:tcPr>
            <w:tcW w:w="1156" w:type="pct"/>
            <w:shd w:val="clear" w:color="auto" w:fill="auto"/>
            <w:tcMar>
              <w:top w:w="0" w:type="dxa"/>
              <w:bottom w:w="0" w:type="dxa"/>
            </w:tcMar>
            <w:vAlign w:val="center"/>
          </w:tcPr>
          <w:p w14:paraId="263AC23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Cost plan (Investment level) in 2024 (Billion VND)</w:t>
            </w:r>
          </w:p>
        </w:tc>
      </w:tr>
      <w:tr w:rsidR="00D7029B" w:rsidRPr="001708AA" w14:paraId="70F2FE58" w14:textId="77777777" w:rsidTr="00FD0621">
        <w:tc>
          <w:tcPr>
            <w:tcW w:w="419" w:type="pct"/>
            <w:shd w:val="clear" w:color="auto" w:fill="auto"/>
            <w:tcMar>
              <w:top w:w="0" w:type="dxa"/>
              <w:bottom w:w="0" w:type="dxa"/>
            </w:tcMar>
            <w:vAlign w:val="center"/>
          </w:tcPr>
          <w:p w14:paraId="418E98D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w:t>
            </w:r>
          </w:p>
        </w:tc>
        <w:tc>
          <w:tcPr>
            <w:tcW w:w="2060" w:type="pct"/>
            <w:shd w:val="clear" w:color="auto" w:fill="auto"/>
            <w:tcMar>
              <w:top w:w="0" w:type="dxa"/>
              <w:bottom w:w="0" w:type="dxa"/>
            </w:tcMar>
            <w:vAlign w:val="center"/>
          </w:tcPr>
          <w:p w14:paraId="168B602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Song Da clean water project phase II</w:t>
            </w:r>
          </w:p>
        </w:tc>
        <w:tc>
          <w:tcPr>
            <w:tcW w:w="1365" w:type="pct"/>
            <w:shd w:val="clear" w:color="auto" w:fill="auto"/>
            <w:tcMar>
              <w:top w:w="0" w:type="dxa"/>
              <w:bottom w:w="0" w:type="dxa"/>
            </w:tcMar>
            <w:vAlign w:val="center"/>
          </w:tcPr>
          <w:p w14:paraId="7BF49A6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Loan capital and own capital</w:t>
            </w:r>
          </w:p>
        </w:tc>
        <w:tc>
          <w:tcPr>
            <w:tcW w:w="1156" w:type="pct"/>
            <w:shd w:val="clear" w:color="auto" w:fill="auto"/>
            <w:tcMar>
              <w:top w:w="0" w:type="dxa"/>
              <w:bottom w:w="0" w:type="dxa"/>
            </w:tcMar>
            <w:vAlign w:val="center"/>
          </w:tcPr>
          <w:p w14:paraId="71D419E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1,347.36</w:t>
            </w:r>
          </w:p>
        </w:tc>
      </w:tr>
      <w:tr w:rsidR="00D7029B" w:rsidRPr="001708AA" w14:paraId="42A9DA15" w14:textId="77777777" w:rsidTr="00FD0621">
        <w:tc>
          <w:tcPr>
            <w:tcW w:w="419" w:type="pct"/>
            <w:shd w:val="clear" w:color="auto" w:fill="auto"/>
            <w:tcMar>
              <w:top w:w="0" w:type="dxa"/>
              <w:bottom w:w="0" w:type="dxa"/>
            </w:tcMar>
            <w:vAlign w:val="center"/>
          </w:tcPr>
          <w:p w14:paraId="35147C2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w:t>
            </w:r>
          </w:p>
        </w:tc>
        <w:tc>
          <w:tcPr>
            <w:tcW w:w="2060" w:type="pct"/>
            <w:shd w:val="clear" w:color="auto" w:fill="auto"/>
            <w:tcMar>
              <w:top w:w="0" w:type="dxa"/>
              <w:bottom w:w="0" w:type="dxa"/>
            </w:tcMar>
            <w:vAlign w:val="center"/>
          </w:tcPr>
          <w:p w14:paraId="6DEC3D6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Level II pipeline network</w:t>
            </w:r>
          </w:p>
        </w:tc>
        <w:tc>
          <w:tcPr>
            <w:tcW w:w="1365" w:type="pct"/>
            <w:shd w:val="clear" w:color="auto" w:fill="auto"/>
            <w:tcMar>
              <w:top w:w="0" w:type="dxa"/>
              <w:bottom w:w="0" w:type="dxa"/>
            </w:tcMar>
            <w:vAlign w:val="center"/>
          </w:tcPr>
          <w:p w14:paraId="1AFBC88C"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Loan capital and own capital</w:t>
            </w:r>
          </w:p>
        </w:tc>
        <w:tc>
          <w:tcPr>
            <w:tcW w:w="1156" w:type="pct"/>
            <w:shd w:val="clear" w:color="auto" w:fill="auto"/>
            <w:tcMar>
              <w:top w:w="0" w:type="dxa"/>
              <w:bottom w:w="0" w:type="dxa"/>
            </w:tcMar>
            <w:vAlign w:val="center"/>
          </w:tcPr>
          <w:p w14:paraId="484964B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60.06</w:t>
            </w:r>
          </w:p>
        </w:tc>
      </w:tr>
      <w:tr w:rsidR="00D7029B" w:rsidRPr="001708AA" w14:paraId="0360744E" w14:textId="77777777" w:rsidTr="00FD0621">
        <w:tc>
          <w:tcPr>
            <w:tcW w:w="419" w:type="pct"/>
            <w:shd w:val="clear" w:color="auto" w:fill="auto"/>
            <w:tcMar>
              <w:top w:w="0" w:type="dxa"/>
              <w:bottom w:w="0" w:type="dxa"/>
            </w:tcMar>
            <w:vAlign w:val="center"/>
          </w:tcPr>
          <w:p w14:paraId="09203F6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w:t>
            </w:r>
          </w:p>
        </w:tc>
        <w:tc>
          <w:tcPr>
            <w:tcW w:w="2060" w:type="pct"/>
            <w:shd w:val="clear" w:color="auto" w:fill="auto"/>
            <w:tcMar>
              <w:top w:w="0" w:type="dxa"/>
              <w:bottom w:w="0" w:type="dxa"/>
            </w:tcMar>
            <w:vAlign w:val="center"/>
          </w:tcPr>
          <w:p w14:paraId="352D423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Management Board expenses</w:t>
            </w:r>
          </w:p>
        </w:tc>
        <w:tc>
          <w:tcPr>
            <w:tcW w:w="1365" w:type="pct"/>
            <w:shd w:val="clear" w:color="auto" w:fill="auto"/>
            <w:tcMar>
              <w:top w:w="0" w:type="dxa"/>
              <w:bottom w:w="0" w:type="dxa"/>
            </w:tcMar>
            <w:vAlign w:val="center"/>
          </w:tcPr>
          <w:p w14:paraId="2451EBC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Loan capital and own capital</w:t>
            </w:r>
          </w:p>
        </w:tc>
        <w:tc>
          <w:tcPr>
            <w:tcW w:w="1156" w:type="pct"/>
            <w:shd w:val="clear" w:color="auto" w:fill="auto"/>
            <w:tcMar>
              <w:top w:w="0" w:type="dxa"/>
              <w:bottom w:w="0" w:type="dxa"/>
            </w:tcMar>
            <w:vAlign w:val="center"/>
          </w:tcPr>
          <w:p w14:paraId="75CE38A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6.569</w:t>
            </w:r>
          </w:p>
        </w:tc>
      </w:tr>
      <w:tr w:rsidR="00D7029B" w:rsidRPr="001708AA" w14:paraId="46B40403" w14:textId="77777777" w:rsidTr="00FD0621">
        <w:tc>
          <w:tcPr>
            <w:tcW w:w="419" w:type="pct"/>
            <w:shd w:val="clear" w:color="auto" w:fill="auto"/>
            <w:tcMar>
              <w:top w:w="0" w:type="dxa"/>
              <w:bottom w:w="0" w:type="dxa"/>
            </w:tcMar>
            <w:vAlign w:val="center"/>
          </w:tcPr>
          <w:p w14:paraId="265A7DC6"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c>
          <w:tcPr>
            <w:tcW w:w="2060" w:type="pct"/>
            <w:shd w:val="clear" w:color="auto" w:fill="auto"/>
            <w:tcMar>
              <w:top w:w="0" w:type="dxa"/>
              <w:bottom w:w="0" w:type="dxa"/>
            </w:tcMar>
            <w:vAlign w:val="center"/>
          </w:tcPr>
          <w:p w14:paraId="7897D990"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Total (1) + (2) + (3)</w:t>
            </w:r>
          </w:p>
        </w:tc>
        <w:tc>
          <w:tcPr>
            <w:tcW w:w="1365" w:type="pct"/>
            <w:shd w:val="clear" w:color="auto" w:fill="auto"/>
            <w:tcMar>
              <w:top w:w="0" w:type="dxa"/>
              <w:bottom w:w="0" w:type="dxa"/>
            </w:tcMar>
            <w:vAlign w:val="center"/>
          </w:tcPr>
          <w:p w14:paraId="748251D6"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c>
          <w:tcPr>
            <w:tcW w:w="1156" w:type="pct"/>
            <w:shd w:val="clear" w:color="auto" w:fill="auto"/>
            <w:tcMar>
              <w:top w:w="0" w:type="dxa"/>
              <w:bottom w:w="0" w:type="dxa"/>
            </w:tcMar>
            <w:vAlign w:val="center"/>
          </w:tcPr>
          <w:p w14:paraId="468A679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1,413.99</w:t>
            </w:r>
          </w:p>
        </w:tc>
      </w:tr>
    </w:tbl>
    <w:p w14:paraId="4CC970F4"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The General Meeting of Shareholders assigned/authorized the Company's Board of Directors, based on the actual situation, to consider and adjust the Company's main production, business and investment targets in 2024 accordingly (if necessary).</w:t>
      </w:r>
    </w:p>
    <w:p w14:paraId="66FF2558" w14:textId="77777777" w:rsidR="00D7029B" w:rsidRPr="001708AA" w:rsidRDefault="000E5937" w:rsidP="00FD0621">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full text of the Company's Financial Statements 2023 audited by Deloitte Vietnam Company Limited.</w:t>
      </w:r>
    </w:p>
    <w:p w14:paraId="6548969B" w14:textId="77777777" w:rsidR="00D7029B" w:rsidRPr="001708AA" w:rsidRDefault="000E5937" w:rsidP="00FD0621">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full text of Report No. 103/2024/BC-HDQT dated March 28, 2024 of the Board of Directors on the Board of Directors' activities in 2023 and the direction and tasks of the Board of Directors in 2024;</w:t>
      </w:r>
    </w:p>
    <w:p w14:paraId="2CC698E5" w14:textId="77777777" w:rsidR="00D7029B" w:rsidRPr="001708AA" w:rsidRDefault="000E5937" w:rsidP="00FD0621">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full text of the Report dated March 28, 2024 of the Company's the Supervisory Board on its activities in 2023;</w:t>
      </w:r>
    </w:p>
    <w:p w14:paraId="59E441D6" w14:textId="77777777" w:rsidR="00D7029B" w:rsidRPr="001708AA" w:rsidRDefault="000E5937" w:rsidP="00FD0621">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proposed content in Proposal No. 105/2024/TTr-BKS dated March 28, 2024 of the Supervisory Board on selecting an independent audit company to audit the Company's Financial Statements 2024. The General Meeting of Shareholders assigned/authorized the Board of Directors to decide on selecting one of the following audit companies to audit the Company's Financial Statements 2024:</w:t>
      </w:r>
    </w:p>
    <w:p w14:paraId="24BE94D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KPMG Limited;</w:t>
      </w:r>
    </w:p>
    <w:p w14:paraId="3E61F89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Ernst &amp; Young Vietnam Limited;</w:t>
      </w:r>
    </w:p>
    <w:p w14:paraId="4F8AA0E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Deloitte Vietnam Company Limited;</w:t>
      </w:r>
    </w:p>
    <w:p w14:paraId="144CAFC4" w14:textId="77777777" w:rsidR="00D7029B" w:rsidRPr="001708AA" w:rsidRDefault="000E5937" w:rsidP="00FD0621">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contents of the report and proposals in Proposal No. 107/2024/TTr-HDQT dated March 28, 2024 of the Board of Directors on the payment of remuneration to the Board of Directors and the Supervisory Board in 2023 and the plan to pay remuneration to the Board of Directors and the Supervisory Board in 2024, specifically as follows:</w:t>
      </w:r>
    </w:p>
    <w:p w14:paraId="5CFFBBDB" w14:textId="77777777" w:rsidR="00D7029B" w:rsidRPr="001708AA" w:rsidRDefault="000E5937" w:rsidP="00FD0621">
      <w:pPr>
        <w:numPr>
          <w:ilvl w:val="1"/>
          <w:numId w:val="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In 2023: The remuneration of the Board of Directors and the Supervisory Board is: VND 2,640,000,000.</w:t>
      </w:r>
    </w:p>
    <w:p w14:paraId="59D6AF9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In which:</w:t>
      </w:r>
    </w:p>
    <w:p w14:paraId="1C1B8821"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The Board of Directors:</w:t>
      </w:r>
      <w:r w:rsidRPr="001708AA">
        <w:rPr>
          <w:rFonts w:ascii="Arial" w:hAnsi="Arial" w:cs="Arial"/>
          <w:color w:val="010000"/>
          <w:sz w:val="20"/>
        </w:rPr>
        <w:tab/>
        <w:t>VND 2,040,000,000/year</w:t>
      </w:r>
    </w:p>
    <w:p w14:paraId="67422404"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The Supervisory Board:</w:t>
      </w:r>
      <w:r w:rsidRPr="001708AA">
        <w:rPr>
          <w:rFonts w:ascii="Arial" w:hAnsi="Arial" w:cs="Arial"/>
          <w:color w:val="010000"/>
          <w:sz w:val="20"/>
        </w:rPr>
        <w:tab/>
        <w:t>VND 600,000,000/year</w:t>
      </w:r>
    </w:p>
    <w:p w14:paraId="6F6C98F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6.2. In 2024: Remuneration plan for the Board of Directors and the Supervisory Board: VND 2,640,000,000</w:t>
      </w:r>
    </w:p>
    <w:p w14:paraId="34357B6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In which:</w:t>
      </w:r>
    </w:p>
    <w:p w14:paraId="02CBC41C"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Remuneration of the Board of Directors:</w:t>
      </w:r>
      <w:r w:rsidRPr="001708AA">
        <w:rPr>
          <w:rFonts w:ascii="Arial" w:hAnsi="Arial" w:cs="Arial"/>
          <w:color w:val="010000"/>
          <w:sz w:val="20"/>
        </w:rPr>
        <w:tab/>
        <w:t>VND 2,040,000,000</w:t>
      </w:r>
    </w:p>
    <w:p w14:paraId="5E2F27A8"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The Chair of the Board of Directors:</w:t>
      </w:r>
      <w:r w:rsidRPr="001708AA">
        <w:rPr>
          <w:rFonts w:ascii="Arial" w:hAnsi="Arial" w:cs="Arial"/>
          <w:color w:val="010000"/>
          <w:sz w:val="20"/>
        </w:rPr>
        <w:tab/>
        <w:t>VND 50,000,000/month.</w:t>
      </w:r>
    </w:p>
    <w:p w14:paraId="52114EC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Members of the Board of Directors (04 persons): VND 30,000,000/person/month.</w:t>
      </w:r>
    </w:p>
    <w:p w14:paraId="7D08AEC3"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lastRenderedPageBreak/>
        <w:t>Remuneration of the Supervisory Board:</w:t>
      </w:r>
      <w:r w:rsidRPr="001708AA">
        <w:rPr>
          <w:rFonts w:ascii="Arial" w:hAnsi="Arial" w:cs="Arial"/>
          <w:color w:val="010000"/>
          <w:sz w:val="20"/>
        </w:rPr>
        <w:tab/>
        <w:t>VND 600,000,000</w:t>
      </w:r>
    </w:p>
    <w:p w14:paraId="51257A0E"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Chief of the Supervisory Board:</w:t>
      </w:r>
      <w:r w:rsidRPr="001708AA">
        <w:rPr>
          <w:rFonts w:ascii="Arial" w:hAnsi="Arial" w:cs="Arial"/>
          <w:color w:val="010000"/>
          <w:sz w:val="20"/>
        </w:rPr>
        <w:tab/>
        <w:t>VND 30,000,000/month</w:t>
      </w:r>
    </w:p>
    <w:p w14:paraId="25C857CF" w14:textId="77777777" w:rsidR="00D7029B" w:rsidRPr="001708AA" w:rsidRDefault="000E5937" w:rsidP="00FD0621">
      <w:pPr>
        <w:pBdr>
          <w:top w:val="nil"/>
          <w:left w:val="nil"/>
          <w:bottom w:val="nil"/>
          <w:right w:val="nil"/>
          <w:between w:val="nil"/>
        </w:pBdr>
        <w:tabs>
          <w:tab w:val="left" w:pos="432"/>
          <w:tab w:val="left" w:pos="3637"/>
        </w:tabs>
        <w:spacing w:after="120" w:line="360" w:lineRule="auto"/>
        <w:rPr>
          <w:rFonts w:ascii="Arial" w:eastAsia="Arial" w:hAnsi="Arial" w:cs="Arial"/>
          <w:color w:val="010000"/>
          <w:sz w:val="20"/>
          <w:szCs w:val="20"/>
        </w:rPr>
      </w:pPr>
      <w:r w:rsidRPr="001708AA">
        <w:rPr>
          <w:rFonts w:ascii="Arial" w:hAnsi="Arial" w:cs="Arial"/>
          <w:color w:val="010000"/>
          <w:sz w:val="20"/>
        </w:rPr>
        <w:t>Members of the Supervisory Board (02 people):</w:t>
      </w:r>
      <w:r w:rsidRPr="001708AA">
        <w:rPr>
          <w:rFonts w:ascii="Arial" w:hAnsi="Arial" w:cs="Arial"/>
          <w:color w:val="010000"/>
          <w:sz w:val="20"/>
        </w:rPr>
        <w:tab/>
        <w:t>VND 10,000,000/person/month</w:t>
      </w:r>
    </w:p>
    <w:p w14:paraId="11DD692F" w14:textId="77777777" w:rsidR="00D7029B" w:rsidRPr="001708AA" w:rsidRDefault="000E5937" w:rsidP="00FD0621">
      <w:pPr>
        <w:numPr>
          <w:ilvl w:val="0"/>
          <w:numId w:val="3"/>
        </w:num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Approve the proposed content in Proposal No. 108/2024/TTr-HDQT dated March 28, 2024 of the Board of Directors on the profit distribution plan for 2023 and dividend payment plan for 2024, specifically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2"/>
        <w:gridCol w:w="5765"/>
        <w:gridCol w:w="2479"/>
      </w:tblGrid>
      <w:tr w:rsidR="00D7029B" w:rsidRPr="001708AA" w14:paraId="3521ACD7" w14:textId="77777777" w:rsidTr="00FD0621">
        <w:tc>
          <w:tcPr>
            <w:tcW w:w="428" w:type="pct"/>
            <w:shd w:val="clear" w:color="auto" w:fill="auto"/>
            <w:tcMar>
              <w:top w:w="0" w:type="dxa"/>
              <w:bottom w:w="0" w:type="dxa"/>
            </w:tcMar>
            <w:vAlign w:val="center"/>
          </w:tcPr>
          <w:p w14:paraId="7618E06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No.</w:t>
            </w:r>
          </w:p>
        </w:tc>
        <w:tc>
          <w:tcPr>
            <w:tcW w:w="3197" w:type="pct"/>
            <w:shd w:val="clear" w:color="auto" w:fill="auto"/>
            <w:tcMar>
              <w:top w:w="0" w:type="dxa"/>
              <w:bottom w:w="0" w:type="dxa"/>
            </w:tcMar>
            <w:vAlign w:val="center"/>
          </w:tcPr>
          <w:p w14:paraId="3365AF54"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Content</w:t>
            </w:r>
          </w:p>
        </w:tc>
        <w:tc>
          <w:tcPr>
            <w:tcW w:w="1375" w:type="pct"/>
            <w:shd w:val="clear" w:color="auto" w:fill="auto"/>
            <w:tcMar>
              <w:top w:w="0" w:type="dxa"/>
              <w:bottom w:w="0" w:type="dxa"/>
            </w:tcMar>
            <w:vAlign w:val="center"/>
          </w:tcPr>
          <w:p w14:paraId="5F03F02C"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Value (VND)</w:t>
            </w:r>
          </w:p>
        </w:tc>
      </w:tr>
      <w:tr w:rsidR="00D7029B" w:rsidRPr="001708AA" w14:paraId="4320FC34" w14:textId="77777777" w:rsidTr="00FD0621">
        <w:tc>
          <w:tcPr>
            <w:tcW w:w="428" w:type="pct"/>
            <w:shd w:val="clear" w:color="auto" w:fill="auto"/>
            <w:tcMar>
              <w:top w:w="0" w:type="dxa"/>
              <w:bottom w:w="0" w:type="dxa"/>
            </w:tcMar>
            <w:vAlign w:val="center"/>
          </w:tcPr>
          <w:p w14:paraId="67F07A50"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1</w:t>
            </w:r>
          </w:p>
        </w:tc>
        <w:tc>
          <w:tcPr>
            <w:tcW w:w="3197" w:type="pct"/>
            <w:shd w:val="clear" w:color="auto" w:fill="auto"/>
            <w:tcMar>
              <w:top w:w="0" w:type="dxa"/>
              <w:bottom w:w="0" w:type="dxa"/>
            </w:tcMar>
            <w:vAlign w:val="center"/>
          </w:tcPr>
          <w:p w14:paraId="0F91307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Undistributed profit after tax on the Separate Financial Statements as of December 31, 2022.</w:t>
            </w:r>
          </w:p>
        </w:tc>
        <w:tc>
          <w:tcPr>
            <w:tcW w:w="1375" w:type="pct"/>
            <w:shd w:val="clear" w:color="auto" w:fill="auto"/>
            <w:tcMar>
              <w:top w:w="0" w:type="dxa"/>
              <w:bottom w:w="0" w:type="dxa"/>
            </w:tcMar>
            <w:vAlign w:val="center"/>
          </w:tcPr>
          <w:p w14:paraId="4FFD4A8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587,919,445,792</w:t>
            </w:r>
          </w:p>
        </w:tc>
      </w:tr>
      <w:tr w:rsidR="00D7029B" w:rsidRPr="001708AA" w14:paraId="056E8669" w14:textId="77777777" w:rsidTr="00FD0621">
        <w:tc>
          <w:tcPr>
            <w:tcW w:w="428" w:type="pct"/>
            <w:shd w:val="clear" w:color="auto" w:fill="auto"/>
            <w:tcMar>
              <w:top w:w="0" w:type="dxa"/>
              <w:bottom w:w="0" w:type="dxa"/>
            </w:tcMar>
            <w:vAlign w:val="center"/>
          </w:tcPr>
          <w:p w14:paraId="6378249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2</w:t>
            </w:r>
          </w:p>
        </w:tc>
        <w:tc>
          <w:tcPr>
            <w:tcW w:w="3197" w:type="pct"/>
            <w:shd w:val="clear" w:color="auto" w:fill="auto"/>
            <w:tcMar>
              <w:top w:w="0" w:type="dxa"/>
              <w:bottom w:w="0" w:type="dxa"/>
            </w:tcMar>
            <w:vAlign w:val="center"/>
          </w:tcPr>
          <w:p w14:paraId="13209C8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Profits distributed according to General Mandate No. 01/2023/NQ-DHDCD dated April 25, 2023 (2nd dividend payment at the rate of 5% for 2022 profits (For 01 share, shareholders will receive VND 500).</w:t>
            </w:r>
          </w:p>
        </w:tc>
        <w:tc>
          <w:tcPr>
            <w:tcW w:w="1375" w:type="pct"/>
            <w:shd w:val="clear" w:color="auto" w:fill="auto"/>
            <w:tcMar>
              <w:top w:w="0" w:type="dxa"/>
              <w:bottom w:w="0" w:type="dxa"/>
            </w:tcMar>
            <w:vAlign w:val="center"/>
          </w:tcPr>
          <w:p w14:paraId="6522DC6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37,500,000,000</w:t>
            </w:r>
          </w:p>
        </w:tc>
      </w:tr>
      <w:tr w:rsidR="00D7029B" w:rsidRPr="001708AA" w14:paraId="6A6A7434" w14:textId="77777777" w:rsidTr="00FD0621">
        <w:tc>
          <w:tcPr>
            <w:tcW w:w="428" w:type="pct"/>
            <w:shd w:val="clear" w:color="auto" w:fill="auto"/>
            <w:tcMar>
              <w:top w:w="0" w:type="dxa"/>
              <w:bottom w:w="0" w:type="dxa"/>
            </w:tcMar>
            <w:vAlign w:val="center"/>
          </w:tcPr>
          <w:p w14:paraId="7C270A9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w:t>
            </w:r>
          </w:p>
        </w:tc>
        <w:tc>
          <w:tcPr>
            <w:tcW w:w="3197" w:type="pct"/>
            <w:shd w:val="clear" w:color="auto" w:fill="auto"/>
            <w:tcMar>
              <w:top w:w="0" w:type="dxa"/>
              <w:bottom w:w="0" w:type="dxa"/>
            </w:tcMar>
            <w:vAlign w:val="center"/>
          </w:tcPr>
          <w:p w14:paraId="00CE0F49"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Profit after tax in 2023.</w:t>
            </w:r>
          </w:p>
        </w:tc>
        <w:tc>
          <w:tcPr>
            <w:tcW w:w="1375" w:type="pct"/>
            <w:shd w:val="clear" w:color="auto" w:fill="auto"/>
            <w:tcMar>
              <w:top w:w="0" w:type="dxa"/>
              <w:bottom w:w="0" w:type="dxa"/>
            </w:tcMar>
            <w:vAlign w:val="center"/>
          </w:tcPr>
          <w:p w14:paraId="7C2D217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34,044,845,279</w:t>
            </w:r>
          </w:p>
        </w:tc>
      </w:tr>
      <w:tr w:rsidR="00D7029B" w:rsidRPr="001708AA" w14:paraId="64245934" w14:textId="77777777" w:rsidTr="00FD0621">
        <w:tc>
          <w:tcPr>
            <w:tcW w:w="428" w:type="pct"/>
            <w:shd w:val="clear" w:color="auto" w:fill="auto"/>
            <w:tcMar>
              <w:top w:w="0" w:type="dxa"/>
              <w:bottom w:w="0" w:type="dxa"/>
            </w:tcMar>
            <w:vAlign w:val="center"/>
          </w:tcPr>
          <w:p w14:paraId="10F8D253"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4</w:t>
            </w:r>
          </w:p>
        </w:tc>
        <w:tc>
          <w:tcPr>
            <w:tcW w:w="3197" w:type="pct"/>
            <w:shd w:val="clear" w:color="auto" w:fill="auto"/>
            <w:tcMar>
              <w:top w:w="0" w:type="dxa"/>
              <w:bottom w:w="0" w:type="dxa"/>
            </w:tcMar>
            <w:vAlign w:val="center"/>
          </w:tcPr>
          <w:p w14:paraId="34A96F0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Total profit distribution source for 2023 (4)=(1)-(2)+(3).</w:t>
            </w:r>
          </w:p>
        </w:tc>
        <w:tc>
          <w:tcPr>
            <w:tcW w:w="1375" w:type="pct"/>
            <w:shd w:val="clear" w:color="auto" w:fill="auto"/>
            <w:tcMar>
              <w:top w:w="0" w:type="dxa"/>
              <w:bottom w:w="0" w:type="dxa"/>
            </w:tcMar>
            <w:vAlign w:val="center"/>
          </w:tcPr>
          <w:p w14:paraId="631628B3"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584,464,291,071</w:t>
            </w:r>
          </w:p>
        </w:tc>
      </w:tr>
      <w:tr w:rsidR="00D7029B" w:rsidRPr="001708AA" w14:paraId="5CA0CFE7" w14:textId="77777777" w:rsidTr="00FD0621">
        <w:tc>
          <w:tcPr>
            <w:tcW w:w="428" w:type="pct"/>
            <w:shd w:val="clear" w:color="auto" w:fill="auto"/>
            <w:tcMar>
              <w:top w:w="0" w:type="dxa"/>
              <w:bottom w:w="0" w:type="dxa"/>
            </w:tcMar>
            <w:vAlign w:val="center"/>
          </w:tcPr>
          <w:p w14:paraId="617F1B9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w:t>
            </w:r>
          </w:p>
        </w:tc>
        <w:tc>
          <w:tcPr>
            <w:tcW w:w="3197" w:type="pct"/>
            <w:shd w:val="clear" w:color="auto" w:fill="auto"/>
            <w:tcMar>
              <w:top w:w="0" w:type="dxa"/>
              <w:bottom w:w="0" w:type="dxa"/>
            </w:tcMar>
            <w:vAlign w:val="center"/>
          </w:tcPr>
          <w:p w14:paraId="6452922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Proposed profit distribution.</w:t>
            </w:r>
          </w:p>
        </w:tc>
        <w:tc>
          <w:tcPr>
            <w:tcW w:w="1375" w:type="pct"/>
            <w:shd w:val="clear" w:color="auto" w:fill="auto"/>
            <w:tcMar>
              <w:top w:w="0" w:type="dxa"/>
              <w:bottom w:w="0" w:type="dxa"/>
            </w:tcMar>
            <w:vAlign w:val="center"/>
          </w:tcPr>
          <w:p w14:paraId="4EBDA64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37,500,000,000</w:t>
            </w:r>
          </w:p>
        </w:tc>
      </w:tr>
      <w:tr w:rsidR="00D7029B" w:rsidRPr="001708AA" w14:paraId="6098B010" w14:textId="77777777" w:rsidTr="00FD0621">
        <w:tc>
          <w:tcPr>
            <w:tcW w:w="428" w:type="pct"/>
            <w:shd w:val="clear" w:color="auto" w:fill="auto"/>
            <w:tcMar>
              <w:top w:w="0" w:type="dxa"/>
              <w:bottom w:w="0" w:type="dxa"/>
            </w:tcMar>
            <w:vAlign w:val="center"/>
          </w:tcPr>
          <w:p w14:paraId="2054B027"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c>
          <w:tcPr>
            <w:tcW w:w="3197" w:type="pct"/>
            <w:shd w:val="clear" w:color="auto" w:fill="auto"/>
            <w:tcMar>
              <w:top w:w="0" w:type="dxa"/>
              <w:bottom w:w="0" w:type="dxa"/>
            </w:tcMar>
            <w:vAlign w:val="center"/>
          </w:tcPr>
          <w:p w14:paraId="6BF69CD6"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In which:</w:t>
            </w:r>
          </w:p>
        </w:tc>
        <w:tc>
          <w:tcPr>
            <w:tcW w:w="1375" w:type="pct"/>
            <w:shd w:val="clear" w:color="auto" w:fill="auto"/>
            <w:tcMar>
              <w:top w:w="0" w:type="dxa"/>
              <w:bottom w:w="0" w:type="dxa"/>
            </w:tcMar>
            <w:vAlign w:val="center"/>
          </w:tcPr>
          <w:p w14:paraId="6EEBA152"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r>
      <w:tr w:rsidR="00D7029B" w:rsidRPr="001708AA" w14:paraId="3AE9D75B" w14:textId="77777777" w:rsidTr="00FD0621">
        <w:tc>
          <w:tcPr>
            <w:tcW w:w="428" w:type="pct"/>
            <w:shd w:val="clear" w:color="auto" w:fill="auto"/>
            <w:tcMar>
              <w:top w:w="0" w:type="dxa"/>
              <w:bottom w:w="0" w:type="dxa"/>
            </w:tcMar>
            <w:vAlign w:val="center"/>
          </w:tcPr>
          <w:p w14:paraId="5CA73798"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c>
          <w:tcPr>
            <w:tcW w:w="3197" w:type="pct"/>
            <w:shd w:val="clear" w:color="auto" w:fill="auto"/>
            <w:tcMar>
              <w:top w:w="0" w:type="dxa"/>
              <w:bottom w:w="0" w:type="dxa"/>
            </w:tcMar>
            <w:vAlign w:val="center"/>
          </w:tcPr>
          <w:p w14:paraId="160C9DA2"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Appropriation for bonus and welfare fund;</w:t>
            </w:r>
          </w:p>
        </w:tc>
        <w:tc>
          <w:tcPr>
            <w:tcW w:w="1375" w:type="pct"/>
            <w:shd w:val="clear" w:color="auto" w:fill="auto"/>
            <w:tcMar>
              <w:top w:w="0" w:type="dxa"/>
              <w:bottom w:w="0" w:type="dxa"/>
            </w:tcMar>
            <w:vAlign w:val="center"/>
          </w:tcPr>
          <w:p w14:paraId="7D081A6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0</w:t>
            </w:r>
          </w:p>
        </w:tc>
      </w:tr>
      <w:tr w:rsidR="00D7029B" w:rsidRPr="001708AA" w14:paraId="38F1D95C" w14:textId="77777777" w:rsidTr="00FD0621">
        <w:tc>
          <w:tcPr>
            <w:tcW w:w="428" w:type="pct"/>
            <w:shd w:val="clear" w:color="auto" w:fill="auto"/>
            <w:tcMar>
              <w:top w:w="0" w:type="dxa"/>
              <w:bottom w:w="0" w:type="dxa"/>
            </w:tcMar>
            <w:vAlign w:val="center"/>
          </w:tcPr>
          <w:p w14:paraId="37F7944D" w14:textId="77777777" w:rsidR="00D7029B" w:rsidRPr="001708AA" w:rsidRDefault="00D7029B" w:rsidP="00FD0621">
            <w:pPr>
              <w:tabs>
                <w:tab w:val="left" w:pos="432"/>
              </w:tabs>
              <w:spacing w:after="120" w:line="360" w:lineRule="auto"/>
              <w:rPr>
                <w:rFonts w:ascii="Arial" w:eastAsia="Arial" w:hAnsi="Arial" w:cs="Arial"/>
                <w:color w:val="010000"/>
                <w:sz w:val="20"/>
                <w:szCs w:val="20"/>
              </w:rPr>
            </w:pPr>
          </w:p>
        </w:tc>
        <w:tc>
          <w:tcPr>
            <w:tcW w:w="3197" w:type="pct"/>
            <w:shd w:val="clear" w:color="auto" w:fill="auto"/>
            <w:tcMar>
              <w:top w:w="0" w:type="dxa"/>
              <w:bottom w:w="0" w:type="dxa"/>
            </w:tcMar>
            <w:vAlign w:val="center"/>
          </w:tcPr>
          <w:p w14:paraId="30012A6F"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Dividends in 2023: 5% (For 1 share, shareholders receive VND 500) (*).</w:t>
            </w:r>
          </w:p>
        </w:tc>
        <w:tc>
          <w:tcPr>
            <w:tcW w:w="1375" w:type="pct"/>
            <w:shd w:val="clear" w:color="auto" w:fill="auto"/>
            <w:tcMar>
              <w:top w:w="0" w:type="dxa"/>
              <w:bottom w:w="0" w:type="dxa"/>
            </w:tcMar>
            <w:vAlign w:val="center"/>
          </w:tcPr>
          <w:p w14:paraId="37C5C3B5"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37,500,000,000</w:t>
            </w:r>
          </w:p>
        </w:tc>
      </w:tr>
      <w:tr w:rsidR="00D7029B" w:rsidRPr="001708AA" w14:paraId="0F2F30F8" w14:textId="77777777" w:rsidTr="00FD0621">
        <w:tc>
          <w:tcPr>
            <w:tcW w:w="428" w:type="pct"/>
            <w:shd w:val="clear" w:color="auto" w:fill="auto"/>
            <w:tcMar>
              <w:top w:w="0" w:type="dxa"/>
              <w:bottom w:w="0" w:type="dxa"/>
            </w:tcMar>
            <w:vAlign w:val="center"/>
          </w:tcPr>
          <w:p w14:paraId="312C79C3"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6</w:t>
            </w:r>
          </w:p>
        </w:tc>
        <w:tc>
          <w:tcPr>
            <w:tcW w:w="3197" w:type="pct"/>
            <w:shd w:val="clear" w:color="auto" w:fill="auto"/>
            <w:tcMar>
              <w:top w:w="0" w:type="dxa"/>
              <w:bottom w:w="0" w:type="dxa"/>
            </w:tcMar>
            <w:vAlign w:val="center"/>
          </w:tcPr>
          <w:p w14:paraId="1247F16E"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Profit retained after distribution (6)=(4)-(5).</w:t>
            </w:r>
          </w:p>
        </w:tc>
        <w:tc>
          <w:tcPr>
            <w:tcW w:w="1375" w:type="pct"/>
            <w:shd w:val="clear" w:color="auto" w:fill="auto"/>
            <w:tcMar>
              <w:top w:w="0" w:type="dxa"/>
              <w:bottom w:w="0" w:type="dxa"/>
            </w:tcMar>
            <w:vAlign w:val="center"/>
          </w:tcPr>
          <w:p w14:paraId="6D05B64A"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546,964,291,071</w:t>
            </w:r>
          </w:p>
        </w:tc>
      </w:tr>
      <w:tr w:rsidR="00D7029B" w:rsidRPr="001708AA" w14:paraId="556C3A70" w14:textId="77777777" w:rsidTr="00FD0621">
        <w:tc>
          <w:tcPr>
            <w:tcW w:w="428" w:type="pct"/>
            <w:shd w:val="clear" w:color="auto" w:fill="auto"/>
            <w:tcMar>
              <w:top w:w="0" w:type="dxa"/>
              <w:bottom w:w="0" w:type="dxa"/>
            </w:tcMar>
            <w:vAlign w:val="center"/>
          </w:tcPr>
          <w:p w14:paraId="207645C7"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7</w:t>
            </w:r>
          </w:p>
        </w:tc>
        <w:tc>
          <w:tcPr>
            <w:tcW w:w="3197" w:type="pct"/>
            <w:shd w:val="clear" w:color="auto" w:fill="auto"/>
            <w:tcMar>
              <w:top w:w="0" w:type="dxa"/>
              <w:bottom w:w="0" w:type="dxa"/>
            </w:tcMar>
            <w:vAlign w:val="center"/>
          </w:tcPr>
          <w:p w14:paraId="745FB928"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Dividend payment plan 2024.</w:t>
            </w:r>
          </w:p>
        </w:tc>
        <w:tc>
          <w:tcPr>
            <w:tcW w:w="1375" w:type="pct"/>
            <w:shd w:val="clear" w:color="auto" w:fill="auto"/>
            <w:tcMar>
              <w:top w:w="0" w:type="dxa"/>
              <w:bottom w:w="0" w:type="dxa"/>
            </w:tcMar>
            <w:vAlign w:val="center"/>
          </w:tcPr>
          <w:p w14:paraId="174F39E1"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t>0</w:t>
            </w:r>
          </w:p>
        </w:tc>
      </w:tr>
    </w:tbl>
    <w:p w14:paraId="340AC264" w14:textId="77777777" w:rsidR="00D7029B" w:rsidRPr="001708AA" w:rsidRDefault="000E5937" w:rsidP="00FD0621">
      <w:pPr>
        <w:numPr>
          <w:ilvl w:val="0"/>
          <w:numId w:val="3"/>
        </w:num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sectPr w:rsidR="00D7029B" w:rsidRPr="001708AA" w:rsidSect="00FD0621">
          <w:pgSz w:w="11906" w:h="16838"/>
          <w:pgMar w:top="1440" w:right="1440" w:bottom="1440" w:left="1440" w:header="0" w:footer="3" w:gutter="0"/>
          <w:pgNumType w:start="1"/>
          <w:cols w:space="720"/>
          <w:docGrid w:linePitch="326"/>
        </w:sectPr>
      </w:pPr>
      <w:r w:rsidRPr="001708AA">
        <w:rPr>
          <w:rFonts w:ascii="Arial" w:hAnsi="Arial" w:cs="Arial"/>
          <w:color w:val="010000"/>
          <w:sz w:val="20"/>
        </w:rPr>
        <w:t>Approve the full text of Report No. 104/2024/BC-HDQT dated March 28, 2024 of the Company's Board of Directors on the implementation of the authorized contents of the General Meeting of Shareholders to the Board of Directors. At the same time, agree to continue authorizing the Company's Board of Directors to: (1) Adjust the plan related to water source exploitation projects and raw water pipelines from Da River to the water treatment area of the Phase II Project with the goal of optimizing the system and not exceeding the total investment amount that has been approved according to Decision No. 02/2022/QD-HDQT dated August 1, 2022; (2) Decide, organize the implementation, complete the plan and approve the adjusted phase II project (on the basis of the policy of adjusting the source exploitation project plan mentioned above); and (3) other work contents during the implementation of the Phase II Project under the authority of the General Meeting of Shareholders, in accordance with the provisions of current Law. The Company's Board of Directors is responsible for reporting to the General Meeting of Shareholders at the nearest General Meeting of Shareholders on the implementation of the above authorization contents.</w:t>
      </w:r>
    </w:p>
    <w:p w14:paraId="1BD038CB" w14:textId="77777777" w:rsidR="00D7029B" w:rsidRPr="001708AA" w:rsidRDefault="000E5937" w:rsidP="00FD06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8AA">
        <w:rPr>
          <w:rFonts w:ascii="Arial" w:hAnsi="Arial" w:cs="Arial"/>
          <w:color w:val="010000"/>
          <w:sz w:val="20"/>
        </w:rPr>
        <w:lastRenderedPageBreak/>
        <w:t>Article 2. Terms of enforcement:</w:t>
      </w:r>
    </w:p>
    <w:p w14:paraId="1E1F7BA5" w14:textId="77777777" w:rsidR="00D7029B" w:rsidRPr="001708AA" w:rsidRDefault="000E5937" w:rsidP="00FD06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8AA">
        <w:rPr>
          <w:rFonts w:ascii="Arial" w:hAnsi="Arial" w:cs="Arial"/>
          <w:color w:val="010000"/>
          <w:sz w:val="20"/>
        </w:rPr>
        <w:t>This General Mandate takes effect from April 23, 2024.</w:t>
      </w:r>
    </w:p>
    <w:p w14:paraId="38D72FC0" w14:textId="77777777" w:rsidR="00D7029B" w:rsidRPr="001708AA" w:rsidRDefault="000E5937" w:rsidP="00FD06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8AA">
        <w:rPr>
          <w:rFonts w:ascii="Arial" w:hAnsi="Arial" w:cs="Arial"/>
          <w:color w:val="010000"/>
          <w:sz w:val="20"/>
        </w:rPr>
        <w:t>Members of the Board of Directors, the Board of Managers, relevant units and individuals are responsible for implementing this General Mandate.</w:t>
      </w:r>
    </w:p>
    <w:sectPr w:rsidR="00D7029B" w:rsidRPr="001708AA" w:rsidSect="00FD0621">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66725"/>
    <w:multiLevelType w:val="multilevel"/>
    <w:tmpl w:val="E79276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9C62019"/>
    <w:multiLevelType w:val="multilevel"/>
    <w:tmpl w:val="00646E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470464"/>
    <w:multiLevelType w:val="multilevel"/>
    <w:tmpl w:val="1C3C891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9B"/>
    <w:rsid w:val="000E5937"/>
    <w:rsid w:val="001708AA"/>
    <w:rsid w:val="00D7029B"/>
    <w:rsid w:val="00FD062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093AD"/>
  <w15:docId w15:val="{7CAA7D9E-2EB5-4818-8623-FC9F76C7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61727"/>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C6172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61727"/>
      <w:sz w:val="20"/>
      <w:szCs w:val="20"/>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rPr>
  </w:style>
  <w:style w:type="paragraph" w:customStyle="1" w:styleId="Tablecaption0">
    <w:name w:val="Table caption"/>
    <w:basedOn w:val="Normal"/>
    <w:link w:val="Tablecaption"/>
    <w:pPr>
      <w:spacing w:line="283" w:lineRule="auto"/>
    </w:pPr>
    <w:rPr>
      <w:rFonts w:ascii="Times New Roman" w:eastAsia="Times New Roman" w:hAnsi="Times New Roman" w:cs="Times New Roman"/>
    </w:rPr>
  </w:style>
  <w:style w:type="paragraph" w:customStyle="1" w:styleId="Other0">
    <w:name w:val="Other"/>
    <w:basedOn w:val="Normal"/>
    <w:link w:val="Other"/>
    <w:pPr>
      <w:spacing w:line="307" w:lineRule="auto"/>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C61727"/>
      <w:sz w:val="18"/>
      <w:szCs w:val="18"/>
    </w:rPr>
  </w:style>
  <w:style w:type="paragraph" w:customStyle="1" w:styleId="Bodytext20">
    <w:name w:val="Body text (2)"/>
    <w:basedOn w:val="Normal"/>
    <w:link w:val="Bodytext2"/>
    <w:pPr>
      <w:spacing w:line="221" w:lineRule="auto"/>
    </w:pPr>
    <w:rPr>
      <w:rFonts w:ascii="Arial" w:eastAsia="Arial" w:hAnsi="Arial" w:cs="Arial"/>
      <w:smallCaps/>
      <w:color w:val="C61727"/>
      <w:sz w:val="26"/>
      <w:szCs w:val="26"/>
    </w:rPr>
  </w:style>
  <w:style w:type="paragraph" w:customStyle="1" w:styleId="Bodytext30">
    <w:name w:val="Body text (3)"/>
    <w:basedOn w:val="Normal"/>
    <w:link w:val="Bodytext3"/>
    <w:rPr>
      <w:rFonts w:ascii="Arial" w:eastAsia="Arial" w:hAnsi="Arial" w:cs="Arial"/>
      <w:color w:val="C61727"/>
      <w:sz w:val="20"/>
      <w:szCs w:val="20"/>
    </w:rPr>
  </w:style>
  <w:style w:type="character" w:styleId="PlaceholderText">
    <w:name w:val="Placeholder Text"/>
    <w:basedOn w:val="DefaultParagraphFont"/>
    <w:uiPriority w:val="99"/>
    <w:semiHidden/>
    <w:rsid w:val="006514B9"/>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xWx69xtmnYDjEvPapDKPiN4EA==">CgMxLjA4AHIhMW1xSE0xWXkyMDNHeWZJSktBSjYyY2UzUHAyc1FiX0RB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5045</Characters>
  <Application>Microsoft Office Word</Application>
  <DocSecurity>0</DocSecurity>
  <Lines>186</Lines>
  <Paragraphs>157</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2024-04-26T01:43:00Z</dcterms:created>
  <dcterms:modified xsi:type="dcterms:W3CDTF">2024-05-02T02:44:00Z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bb56d003e953e50857c2ae71e4440d22211d736a8c69bf827aea77b52a636ea7</vt:lpwstr>
  </property>
</Properties>
</file>