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924B"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5367DA">
        <w:rPr>
          <w:rFonts w:ascii="Arial" w:hAnsi="Arial" w:cs="Arial"/>
          <w:b/>
          <w:color w:val="010000"/>
          <w:sz w:val="20"/>
        </w:rPr>
        <w:t>VFR: Annual General Mandate 2024</w:t>
      </w:r>
    </w:p>
    <w:p w14:paraId="6A54395C"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On April 23, 2024, Transport and Chartering Corporation announced General Mandate as follows:</w:t>
      </w:r>
    </w:p>
    <w:p w14:paraId="3C2970D7"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Article 1. The General Meeting of Shareholders of the Company voted to approve the following General Mandates:</w:t>
      </w:r>
    </w:p>
    <w:p w14:paraId="1CDAA998" w14:textId="77777777" w:rsidR="008E3D4B" w:rsidRPr="005367DA" w:rsidRDefault="003B5FDD" w:rsidP="003B5FDD">
      <w:pPr>
        <w:numPr>
          <w:ilvl w:val="0"/>
          <w:numId w:val="4"/>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General Mandate No. 1: The General Meeting of Shareholders approved the Report of the Board of Management on production and business results in 2023 and production and business plan in 2024.</w:t>
      </w:r>
    </w:p>
    <w:p w14:paraId="0BA8FC9F" w14:textId="77777777" w:rsidR="008E3D4B" w:rsidRPr="005367DA" w:rsidRDefault="003B5FDD" w:rsidP="003B5FDD">
      <w:p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 xml:space="preserve">Report on business results in 2023: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15"/>
        <w:gridCol w:w="1037"/>
        <w:gridCol w:w="1006"/>
        <w:gridCol w:w="1172"/>
        <w:gridCol w:w="1096"/>
        <w:gridCol w:w="1190"/>
      </w:tblGrid>
      <w:tr w:rsidR="008E3D4B" w:rsidRPr="005367DA" w14:paraId="17587B3E" w14:textId="77777777" w:rsidTr="003B5FDD">
        <w:tc>
          <w:tcPr>
            <w:tcW w:w="1949" w:type="pct"/>
            <w:shd w:val="clear" w:color="auto" w:fill="auto"/>
            <w:tcMar>
              <w:top w:w="0" w:type="dxa"/>
              <w:bottom w:w="0" w:type="dxa"/>
            </w:tcMar>
            <w:vAlign w:val="center"/>
          </w:tcPr>
          <w:p w14:paraId="6CF00F6A" w14:textId="77777777" w:rsidR="008E3D4B" w:rsidRPr="005367DA" w:rsidRDefault="003B5FDD" w:rsidP="003B5F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67DA">
              <w:rPr>
                <w:rFonts w:ascii="Arial" w:hAnsi="Arial" w:cs="Arial"/>
                <w:color w:val="010000"/>
                <w:sz w:val="20"/>
              </w:rPr>
              <w:t>Target</w:t>
            </w:r>
          </w:p>
        </w:tc>
        <w:tc>
          <w:tcPr>
            <w:tcW w:w="575" w:type="pct"/>
            <w:shd w:val="clear" w:color="auto" w:fill="auto"/>
            <w:tcMar>
              <w:top w:w="0" w:type="dxa"/>
              <w:bottom w:w="0" w:type="dxa"/>
            </w:tcMar>
            <w:vAlign w:val="center"/>
          </w:tcPr>
          <w:p w14:paraId="508C436D" w14:textId="77777777" w:rsidR="008E3D4B" w:rsidRPr="005367DA" w:rsidRDefault="003B5FDD" w:rsidP="003B5F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67DA">
              <w:rPr>
                <w:rFonts w:ascii="Arial" w:hAnsi="Arial" w:cs="Arial"/>
                <w:color w:val="010000"/>
                <w:sz w:val="20"/>
              </w:rPr>
              <w:t>Results 2023</w:t>
            </w:r>
          </w:p>
        </w:tc>
        <w:tc>
          <w:tcPr>
            <w:tcW w:w="558" w:type="pct"/>
            <w:shd w:val="clear" w:color="auto" w:fill="auto"/>
            <w:tcMar>
              <w:top w:w="0" w:type="dxa"/>
              <w:bottom w:w="0" w:type="dxa"/>
            </w:tcMar>
            <w:vAlign w:val="center"/>
          </w:tcPr>
          <w:p w14:paraId="3003986C" w14:textId="77777777" w:rsidR="008E3D4B" w:rsidRPr="005367DA" w:rsidRDefault="003B5FDD" w:rsidP="003B5F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67DA">
              <w:rPr>
                <w:rFonts w:ascii="Arial" w:hAnsi="Arial" w:cs="Arial"/>
                <w:color w:val="010000"/>
                <w:sz w:val="20"/>
              </w:rPr>
              <w:t>Plan 2023</w:t>
            </w:r>
          </w:p>
        </w:tc>
        <w:tc>
          <w:tcPr>
            <w:tcW w:w="650" w:type="pct"/>
            <w:shd w:val="clear" w:color="auto" w:fill="auto"/>
            <w:tcMar>
              <w:top w:w="0" w:type="dxa"/>
              <w:bottom w:w="0" w:type="dxa"/>
            </w:tcMar>
            <w:vAlign w:val="center"/>
          </w:tcPr>
          <w:p w14:paraId="14FB2953" w14:textId="77777777" w:rsidR="008E3D4B" w:rsidRPr="005367DA" w:rsidRDefault="003B5FDD" w:rsidP="003B5F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67DA">
              <w:rPr>
                <w:rFonts w:ascii="Arial" w:hAnsi="Arial" w:cs="Arial"/>
                <w:color w:val="010000"/>
                <w:sz w:val="20"/>
              </w:rPr>
              <w:t>Difference between results and plans of 2023</w:t>
            </w:r>
          </w:p>
        </w:tc>
        <w:tc>
          <w:tcPr>
            <w:tcW w:w="608" w:type="pct"/>
            <w:shd w:val="clear" w:color="auto" w:fill="auto"/>
            <w:tcMar>
              <w:top w:w="0" w:type="dxa"/>
              <w:bottom w:w="0" w:type="dxa"/>
            </w:tcMar>
            <w:vAlign w:val="center"/>
          </w:tcPr>
          <w:p w14:paraId="026D1093" w14:textId="77777777" w:rsidR="008E3D4B" w:rsidRPr="005367DA" w:rsidRDefault="003B5FDD" w:rsidP="003B5F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67DA">
              <w:rPr>
                <w:rFonts w:ascii="Arial" w:hAnsi="Arial" w:cs="Arial"/>
                <w:color w:val="010000"/>
                <w:sz w:val="20"/>
              </w:rPr>
              <w:t>Results 2022</w:t>
            </w:r>
          </w:p>
        </w:tc>
        <w:tc>
          <w:tcPr>
            <w:tcW w:w="660" w:type="pct"/>
            <w:shd w:val="clear" w:color="auto" w:fill="auto"/>
            <w:tcMar>
              <w:top w:w="0" w:type="dxa"/>
              <w:bottom w:w="0" w:type="dxa"/>
            </w:tcMar>
            <w:vAlign w:val="center"/>
          </w:tcPr>
          <w:p w14:paraId="7B1608B1"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Difference between Results 2023 and 2022</w:t>
            </w:r>
          </w:p>
        </w:tc>
      </w:tr>
      <w:tr w:rsidR="008E3D4B" w:rsidRPr="005367DA" w14:paraId="4B48A212" w14:textId="77777777" w:rsidTr="003B5FDD">
        <w:tc>
          <w:tcPr>
            <w:tcW w:w="1949" w:type="pct"/>
            <w:shd w:val="clear" w:color="auto" w:fill="auto"/>
            <w:tcMar>
              <w:top w:w="0" w:type="dxa"/>
              <w:bottom w:w="0" w:type="dxa"/>
            </w:tcMar>
            <w:vAlign w:val="center"/>
          </w:tcPr>
          <w:p w14:paraId="387CC6A0" w14:textId="77777777" w:rsidR="008E3D4B" w:rsidRPr="005367DA" w:rsidRDefault="003B5FDD" w:rsidP="003B5FDD">
            <w:pPr>
              <w:pBdr>
                <w:top w:val="nil"/>
                <w:left w:val="nil"/>
                <w:bottom w:val="nil"/>
                <w:right w:val="nil"/>
                <w:between w:val="nil"/>
              </w:pBdr>
              <w:tabs>
                <w:tab w:val="left" w:pos="432"/>
                <w:tab w:val="left" w:pos="3005"/>
              </w:tabs>
              <w:spacing w:after="120" w:line="360" w:lineRule="auto"/>
              <w:rPr>
                <w:rFonts w:ascii="Arial" w:eastAsia="Arial" w:hAnsi="Arial" w:cs="Arial"/>
                <w:color w:val="010000"/>
                <w:sz w:val="20"/>
                <w:szCs w:val="20"/>
              </w:rPr>
            </w:pPr>
            <w:r w:rsidRPr="005367DA">
              <w:rPr>
                <w:rFonts w:ascii="Arial" w:hAnsi="Arial" w:cs="Arial"/>
                <w:color w:val="010000"/>
                <w:sz w:val="20"/>
              </w:rPr>
              <w:t>1, Net revenue from goods sales and service provision</w:t>
            </w:r>
          </w:p>
        </w:tc>
        <w:tc>
          <w:tcPr>
            <w:tcW w:w="575" w:type="pct"/>
            <w:shd w:val="clear" w:color="auto" w:fill="auto"/>
            <w:tcMar>
              <w:top w:w="0" w:type="dxa"/>
              <w:bottom w:w="0" w:type="dxa"/>
            </w:tcMar>
            <w:vAlign w:val="center"/>
          </w:tcPr>
          <w:p w14:paraId="25DCBE72"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15.07</w:t>
            </w:r>
          </w:p>
        </w:tc>
        <w:tc>
          <w:tcPr>
            <w:tcW w:w="558" w:type="pct"/>
            <w:shd w:val="clear" w:color="auto" w:fill="auto"/>
            <w:tcMar>
              <w:top w:w="0" w:type="dxa"/>
              <w:bottom w:w="0" w:type="dxa"/>
            </w:tcMar>
            <w:vAlign w:val="center"/>
          </w:tcPr>
          <w:p w14:paraId="2082D87C"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14.69</w:t>
            </w:r>
          </w:p>
        </w:tc>
        <w:tc>
          <w:tcPr>
            <w:tcW w:w="650" w:type="pct"/>
            <w:shd w:val="clear" w:color="auto" w:fill="auto"/>
            <w:tcMar>
              <w:top w:w="0" w:type="dxa"/>
              <w:bottom w:w="0" w:type="dxa"/>
            </w:tcMar>
            <w:vAlign w:val="center"/>
          </w:tcPr>
          <w:p w14:paraId="56B7C1F2"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0.38</w:t>
            </w:r>
          </w:p>
        </w:tc>
        <w:tc>
          <w:tcPr>
            <w:tcW w:w="608" w:type="pct"/>
            <w:shd w:val="clear" w:color="auto" w:fill="auto"/>
            <w:tcMar>
              <w:top w:w="0" w:type="dxa"/>
              <w:bottom w:w="0" w:type="dxa"/>
            </w:tcMar>
            <w:vAlign w:val="center"/>
          </w:tcPr>
          <w:p w14:paraId="629843E4"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27.68</w:t>
            </w:r>
          </w:p>
        </w:tc>
        <w:tc>
          <w:tcPr>
            <w:tcW w:w="660" w:type="pct"/>
            <w:shd w:val="clear" w:color="auto" w:fill="auto"/>
            <w:tcMar>
              <w:top w:w="0" w:type="dxa"/>
              <w:bottom w:w="0" w:type="dxa"/>
            </w:tcMar>
            <w:vAlign w:val="center"/>
          </w:tcPr>
          <w:p w14:paraId="06718003"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(12.60)</w:t>
            </w:r>
          </w:p>
        </w:tc>
      </w:tr>
      <w:tr w:rsidR="008E3D4B" w:rsidRPr="005367DA" w14:paraId="5C25CEBB" w14:textId="77777777" w:rsidTr="003B5FDD">
        <w:tc>
          <w:tcPr>
            <w:tcW w:w="1949" w:type="pct"/>
            <w:shd w:val="clear" w:color="auto" w:fill="auto"/>
            <w:tcMar>
              <w:top w:w="0" w:type="dxa"/>
              <w:bottom w:w="0" w:type="dxa"/>
            </w:tcMar>
            <w:vAlign w:val="center"/>
          </w:tcPr>
          <w:p w14:paraId="3C7E621C"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2, Cost of goods sold</w:t>
            </w:r>
          </w:p>
        </w:tc>
        <w:tc>
          <w:tcPr>
            <w:tcW w:w="575" w:type="pct"/>
            <w:shd w:val="clear" w:color="auto" w:fill="auto"/>
            <w:tcMar>
              <w:top w:w="0" w:type="dxa"/>
              <w:bottom w:w="0" w:type="dxa"/>
            </w:tcMar>
            <w:vAlign w:val="center"/>
          </w:tcPr>
          <w:p w14:paraId="57869048"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13.92</w:t>
            </w:r>
          </w:p>
        </w:tc>
        <w:tc>
          <w:tcPr>
            <w:tcW w:w="558" w:type="pct"/>
            <w:shd w:val="clear" w:color="auto" w:fill="auto"/>
            <w:tcMar>
              <w:top w:w="0" w:type="dxa"/>
              <w:bottom w:w="0" w:type="dxa"/>
            </w:tcMar>
            <w:vAlign w:val="center"/>
          </w:tcPr>
          <w:p w14:paraId="6059F844" w14:textId="77777777" w:rsidR="008E3D4B" w:rsidRPr="005367DA" w:rsidRDefault="008E3D4B" w:rsidP="003B5FDD">
            <w:pPr>
              <w:tabs>
                <w:tab w:val="left" w:pos="432"/>
              </w:tabs>
              <w:spacing w:after="120" w:line="360" w:lineRule="auto"/>
              <w:jc w:val="right"/>
              <w:rPr>
                <w:rFonts w:ascii="Arial" w:eastAsia="Arial" w:hAnsi="Arial" w:cs="Arial"/>
                <w:color w:val="010000"/>
                <w:sz w:val="20"/>
                <w:szCs w:val="20"/>
              </w:rPr>
            </w:pPr>
          </w:p>
        </w:tc>
        <w:tc>
          <w:tcPr>
            <w:tcW w:w="650" w:type="pct"/>
            <w:shd w:val="clear" w:color="auto" w:fill="auto"/>
            <w:tcMar>
              <w:top w:w="0" w:type="dxa"/>
              <w:bottom w:w="0" w:type="dxa"/>
            </w:tcMar>
            <w:vAlign w:val="center"/>
          </w:tcPr>
          <w:p w14:paraId="769627EF" w14:textId="77777777" w:rsidR="008E3D4B" w:rsidRPr="005367DA" w:rsidRDefault="008E3D4B" w:rsidP="003B5FDD">
            <w:pPr>
              <w:tabs>
                <w:tab w:val="left" w:pos="432"/>
              </w:tabs>
              <w:spacing w:after="120" w:line="360" w:lineRule="auto"/>
              <w:jc w:val="right"/>
              <w:rPr>
                <w:rFonts w:ascii="Arial" w:eastAsia="Arial" w:hAnsi="Arial" w:cs="Arial"/>
                <w:color w:val="010000"/>
                <w:sz w:val="20"/>
                <w:szCs w:val="20"/>
              </w:rPr>
            </w:pPr>
          </w:p>
        </w:tc>
        <w:tc>
          <w:tcPr>
            <w:tcW w:w="608" w:type="pct"/>
            <w:shd w:val="clear" w:color="auto" w:fill="auto"/>
            <w:tcMar>
              <w:top w:w="0" w:type="dxa"/>
              <w:bottom w:w="0" w:type="dxa"/>
            </w:tcMar>
            <w:vAlign w:val="center"/>
          </w:tcPr>
          <w:p w14:paraId="7986F6DA"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36.12</w:t>
            </w:r>
          </w:p>
        </w:tc>
        <w:tc>
          <w:tcPr>
            <w:tcW w:w="660" w:type="pct"/>
            <w:shd w:val="clear" w:color="auto" w:fill="auto"/>
            <w:tcMar>
              <w:top w:w="0" w:type="dxa"/>
              <w:bottom w:w="0" w:type="dxa"/>
            </w:tcMar>
            <w:vAlign w:val="center"/>
          </w:tcPr>
          <w:p w14:paraId="49B9134A"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(22.20)</w:t>
            </w:r>
          </w:p>
        </w:tc>
      </w:tr>
      <w:tr w:rsidR="008E3D4B" w:rsidRPr="005367DA" w14:paraId="64C3E7CF" w14:textId="77777777" w:rsidTr="003B5FDD">
        <w:tc>
          <w:tcPr>
            <w:tcW w:w="1949" w:type="pct"/>
            <w:shd w:val="clear" w:color="auto" w:fill="auto"/>
            <w:tcMar>
              <w:top w:w="0" w:type="dxa"/>
              <w:bottom w:w="0" w:type="dxa"/>
            </w:tcMar>
            <w:vAlign w:val="center"/>
          </w:tcPr>
          <w:p w14:paraId="3178B566"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3, Financial activity revenue</w:t>
            </w:r>
          </w:p>
        </w:tc>
        <w:tc>
          <w:tcPr>
            <w:tcW w:w="575" w:type="pct"/>
            <w:shd w:val="clear" w:color="auto" w:fill="auto"/>
            <w:tcMar>
              <w:top w:w="0" w:type="dxa"/>
              <w:bottom w:w="0" w:type="dxa"/>
            </w:tcMar>
            <w:vAlign w:val="center"/>
          </w:tcPr>
          <w:p w14:paraId="7ED3DF3F"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20.14</w:t>
            </w:r>
          </w:p>
        </w:tc>
        <w:tc>
          <w:tcPr>
            <w:tcW w:w="558" w:type="pct"/>
            <w:shd w:val="clear" w:color="auto" w:fill="auto"/>
            <w:tcMar>
              <w:top w:w="0" w:type="dxa"/>
              <w:bottom w:w="0" w:type="dxa"/>
            </w:tcMar>
            <w:vAlign w:val="center"/>
          </w:tcPr>
          <w:p w14:paraId="212861E2" w14:textId="77777777" w:rsidR="008E3D4B" w:rsidRPr="005367DA" w:rsidRDefault="008E3D4B" w:rsidP="003B5FDD">
            <w:pPr>
              <w:tabs>
                <w:tab w:val="left" w:pos="432"/>
              </w:tabs>
              <w:spacing w:after="120" w:line="360" w:lineRule="auto"/>
              <w:jc w:val="right"/>
              <w:rPr>
                <w:rFonts w:ascii="Arial" w:eastAsia="Arial" w:hAnsi="Arial" w:cs="Arial"/>
                <w:color w:val="010000"/>
                <w:sz w:val="20"/>
                <w:szCs w:val="20"/>
              </w:rPr>
            </w:pPr>
          </w:p>
        </w:tc>
        <w:tc>
          <w:tcPr>
            <w:tcW w:w="650" w:type="pct"/>
            <w:shd w:val="clear" w:color="auto" w:fill="auto"/>
            <w:tcMar>
              <w:top w:w="0" w:type="dxa"/>
              <w:bottom w:w="0" w:type="dxa"/>
            </w:tcMar>
            <w:vAlign w:val="center"/>
          </w:tcPr>
          <w:p w14:paraId="253FE775" w14:textId="77777777" w:rsidR="008E3D4B" w:rsidRPr="005367DA" w:rsidRDefault="008E3D4B" w:rsidP="003B5FDD">
            <w:pPr>
              <w:tabs>
                <w:tab w:val="left" w:pos="432"/>
              </w:tabs>
              <w:spacing w:after="120" w:line="360" w:lineRule="auto"/>
              <w:jc w:val="right"/>
              <w:rPr>
                <w:rFonts w:ascii="Arial" w:eastAsia="Arial" w:hAnsi="Arial" w:cs="Arial"/>
                <w:color w:val="010000"/>
                <w:sz w:val="20"/>
                <w:szCs w:val="20"/>
              </w:rPr>
            </w:pPr>
          </w:p>
        </w:tc>
        <w:tc>
          <w:tcPr>
            <w:tcW w:w="608" w:type="pct"/>
            <w:shd w:val="clear" w:color="auto" w:fill="auto"/>
            <w:tcMar>
              <w:top w:w="0" w:type="dxa"/>
              <w:bottom w:w="0" w:type="dxa"/>
            </w:tcMar>
            <w:vAlign w:val="center"/>
          </w:tcPr>
          <w:p w14:paraId="1F9F2A81"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13.73</w:t>
            </w:r>
          </w:p>
        </w:tc>
        <w:tc>
          <w:tcPr>
            <w:tcW w:w="660" w:type="pct"/>
            <w:shd w:val="clear" w:color="auto" w:fill="auto"/>
            <w:tcMar>
              <w:top w:w="0" w:type="dxa"/>
              <w:bottom w:w="0" w:type="dxa"/>
            </w:tcMar>
            <w:vAlign w:val="center"/>
          </w:tcPr>
          <w:p w14:paraId="382E56C7"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6.41</w:t>
            </w:r>
          </w:p>
        </w:tc>
      </w:tr>
      <w:tr w:rsidR="008E3D4B" w:rsidRPr="005367DA" w14:paraId="7F5FCF72" w14:textId="77777777" w:rsidTr="003B5FDD">
        <w:tc>
          <w:tcPr>
            <w:tcW w:w="1949" w:type="pct"/>
            <w:shd w:val="clear" w:color="auto" w:fill="auto"/>
            <w:tcMar>
              <w:top w:w="0" w:type="dxa"/>
              <w:bottom w:w="0" w:type="dxa"/>
            </w:tcMar>
            <w:vAlign w:val="center"/>
          </w:tcPr>
          <w:p w14:paraId="4AA0D008"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4, General and administrative expenses</w:t>
            </w:r>
          </w:p>
        </w:tc>
        <w:tc>
          <w:tcPr>
            <w:tcW w:w="575" w:type="pct"/>
            <w:shd w:val="clear" w:color="auto" w:fill="auto"/>
            <w:tcMar>
              <w:top w:w="0" w:type="dxa"/>
              <w:bottom w:w="0" w:type="dxa"/>
            </w:tcMar>
            <w:vAlign w:val="center"/>
          </w:tcPr>
          <w:p w14:paraId="1659A8F6"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7.91</w:t>
            </w:r>
          </w:p>
        </w:tc>
        <w:tc>
          <w:tcPr>
            <w:tcW w:w="558" w:type="pct"/>
            <w:shd w:val="clear" w:color="auto" w:fill="auto"/>
            <w:tcMar>
              <w:top w:w="0" w:type="dxa"/>
              <w:bottom w:w="0" w:type="dxa"/>
            </w:tcMar>
            <w:vAlign w:val="center"/>
          </w:tcPr>
          <w:p w14:paraId="08B3A7FB" w14:textId="77777777" w:rsidR="008E3D4B" w:rsidRPr="005367DA" w:rsidRDefault="008E3D4B" w:rsidP="003B5FDD">
            <w:pPr>
              <w:tabs>
                <w:tab w:val="left" w:pos="432"/>
              </w:tabs>
              <w:spacing w:after="120" w:line="360" w:lineRule="auto"/>
              <w:jc w:val="right"/>
              <w:rPr>
                <w:rFonts w:ascii="Arial" w:eastAsia="Arial" w:hAnsi="Arial" w:cs="Arial"/>
                <w:color w:val="010000"/>
                <w:sz w:val="20"/>
                <w:szCs w:val="20"/>
              </w:rPr>
            </w:pPr>
          </w:p>
        </w:tc>
        <w:tc>
          <w:tcPr>
            <w:tcW w:w="650" w:type="pct"/>
            <w:shd w:val="clear" w:color="auto" w:fill="auto"/>
            <w:tcMar>
              <w:top w:w="0" w:type="dxa"/>
              <w:bottom w:w="0" w:type="dxa"/>
            </w:tcMar>
            <w:vAlign w:val="center"/>
          </w:tcPr>
          <w:p w14:paraId="6F400E04" w14:textId="77777777" w:rsidR="008E3D4B" w:rsidRPr="005367DA" w:rsidRDefault="008E3D4B" w:rsidP="003B5FDD">
            <w:pPr>
              <w:tabs>
                <w:tab w:val="left" w:pos="432"/>
              </w:tabs>
              <w:spacing w:after="120" w:line="360" w:lineRule="auto"/>
              <w:jc w:val="right"/>
              <w:rPr>
                <w:rFonts w:ascii="Arial" w:eastAsia="Arial" w:hAnsi="Arial" w:cs="Arial"/>
                <w:color w:val="010000"/>
                <w:sz w:val="20"/>
                <w:szCs w:val="20"/>
              </w:rPr>
            </w:pPr>
          </w:p>
        </w:tc>
        <w:tc>
          <w:tcPr>
            <w:tcW w:w="608" w:type="pct"/>
            <w:shd w:val="clear" w:color="auto" w:fill="auto"/>
            <w:tcMar>
              <w:top w:w="0" w:type="dxa"/>
              <w:bottom w:w="0" w:type="dxa"/>
            </w:tcMar>
            <w:vAlign w:val="center"/>
          </w:tcPr>
          <w:p w14:paraId="07669463"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8.05</w:t>
            </w:r>
          </w:p>
        </w:tc>
        <w:tc>
          <w:tcPr>
            <w:tcW w:w="660" w:type="pct"/>
            <w:shd w:val="clear" w:color="auto" w:fill="auto"/>
            <w:tcMar>
              <w:top w:w="0" w:type="dxa"/>
              <w:bottom w:w="0" w:type="dxa"/>
            </w:tcMar>
            <w:vAlign w:val="center"/>
          </w:tcPr>
          <w:p w14:paraId="055740DB"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(0.14)</w:t>
            </w:r>
          </w:p>
        </w:tc>
      </w:tr>
      <w:tr w:rsidR="008E3D4B" w:rsidRPr="005367DA" w14:paraId="5A02455C" w14:textId="77777777" w:rsidTr="003B5FDD">
        <w:tc>
          <w:tcPr>
            <w:tcW w:w="1949" w:type="pct"/>
            <w:shd w:val="clear" w:color="auto" w:fill="auto"/>
            <w:tcMar>
              <w:top w:w="0" w:type="dxa"/>
              <w:bottom w:w="0" w:type="dxa"/>
            </w:tcMar>
            <w:vAlign w:val="center"/>
          </w:tcPr>
          <w:p w14:paraId="19A649F8"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5, Net profit from business activities</w:t>
            </w:r>
          </w:p>
        </w:tc>
        <w:tc>
          <w:tcPr>
            <w:tcW w:w="575" w:type="pct"/>
            <w:shd w:val="clear" w:color="auto" w:fill="auto"/>
            <w:tcMar>
              <w:top w:w="0" w:type="dxa"/>
              <w:bottom w:w="0" w:type="dxa"/>
            </w:tcMar>
            <w:vAlign w:val="center"/>
          </w:tcPr>
          <w:p w14:paraId="1B7064D2"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12.54</w:t>
            </w:r>
          </w:p>
        </w:tc>
        <w:tc>
          <w:tcPr>
            <w:tcW w:w="558" w:type="pct"/>
            <w:shd w:val="clear" w:color="auto" w:fill="auto"/>
            <w:tcMar>
              <w:top w:w="0" w:type="dxa"/>
              <w:bottom w:w="0" w:type="dxa"/>
            </w:tcMar>
            <w:vAlign w:val="center"/>
          </w:tcPr>
          <w:p w14:paraId="41D888D5"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(5.08)</w:t>
            </w:r>
          </w:p>
        </w:tc>
        <w:tc>
          <w:tcPr>
            <w:tcW w:w="650" w:type="pct"/>
            <w:shd w:val="clear" w:color="auto" w:fill="auto"/>
            <w:tcMar>
              <w:top w:w="0" w:type="dxa"/>
              <w:bottom w:w="0" w:type="dxa"/>
            </w:tcMar>
            <w:vAlign w:val="center"/>
          </w:tcPr>
          <w:p w14:paraId="2B06243A"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17.62</w:t>
            </w:r>
          </w:p>
        </w:tc>
        <w:tc>
          <w:tcPr>
            <w:tcW w:w="608" w:type="pct"/>
            <w:shd w:val="clear" w:color="auto" w:fill="auto"/>
            <w:tcMar>
              <w:top w:w="0" w:type="dxa"/>
              <w:bottom w:w="0" w:type="dxa"/>
            </w:tcMar>
            <w:vAlign w:val="center"/>
          </w:tcPr>
          <w:p w14:paraId="25A89E89"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(9.41)</w:t>
            </w:r>
          </w:p>
        </w:tc>
        <w:tc>
          <w:tcPr>
            <w:tcW w:w="660" w:type="pct"/>
            <w:shd w:val="clear" w:color="auto" w:fill="auto"/>
            <w:tcMar>
              <w:top w:w="0" w:type="dxa"/>
              <w:bottom w:w="0" w:type="dxa"/>
            </w:tcMar>
            <w:vAlign w:val="center"/>
          </w:tcPr>
          <w:p w14:paraId="50D6C2F6"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21.95</w:t>
            </w:r>
          </w:p>
        </w:tc>
      </w:tr>
      <w:tr w:rsidR="008E3D4B" w:rsidRPr="005367DA" w14:paraId="60464611" w14:textId="77777777" w:rsidTr="003B5FDD">
        <w:tc>
          <w:tcPr>
            <w:tcW w:w="1949" w:type="pct"/>
            <w:shd w:val="clear" w:color="auto" w:fill="auto"/>
            <w:tcMar>
              <w:top w:w="0" w:type="dxa"/>
              <w:bottom w:w="0" w:type="dxa"/>
            </w:tcMar>
            <w:vAlign w:val="center"/>
          </w:tcPr>
          <w:p w14:paraId="242BCD24"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6, Other profits</w:t>
            </w:r>
          </w:p>
        </w:tc>
        <w:tc>
          <w:tcPr>
            <w:tcW w:w="575" w:type="pct"/>
            <w:shd w:val="clear" w:color="auto" w:fill="auto"/>
            <w:tcMar>
              <w:top w:w="0" w:type="dxa"/>
              <w:bottom w:w="0" w:type="dxa"/>
            </w:tcMar>
            <w:vAlign w:val="center"/>
          </w:tcPr>
          <w:p w14:paraId="3F699513"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61.59</w:t>
            </w:r>
          </w:p>
        </w:tc>
        <w:tc>
          <w:tcPr>
            <w:tcW w:w="558" w:type="pct"/>
            <w:shd w:val="clear" w:color="auto" w:fill="auto"/>
            <w:tcMar>
              <w:top w:w="0" w:type="dxa"/>
              <w:bottom w:w="0" w:type="dxa"/>
            </w:tcMar>
            <w:vAlign w:val="center"/>
          </w:tcPr>
          <w:p w14:paraId="5088E02E" w14:textId="77777777" w:rsidR="008E3D4B" w:rsidRPr="005367DA" w:rsidRDefault="008E3D4B" w:rsidP="003B5FDD">
            <w:pPr>
              <w:tabs>
                <w:tab w:val="left" w:pos="432"/>
              </w:tabs>
              <w:spacing w:after="120" w:line="360" w:lineRule="auto"/>
              <w:jc w:val="right"/>
              <w:rPr>
                <w:rFonts w:ascii="Arial" w:eastAsia="Arial" w:hAnsi="Arial" w:cs="Arial"/>
                <w:color w:val="010000"/>
                <w:sz w:val="20"/>
                <w:szCs w:val="20"/>
              </w:rPr>
            </w:pPr>
          </w:p>
        </w:tc>
        <w:tc>
          <w:tcPr>
            <w:tcW w:w="650" w:type="pct"/>
            <w:shd w:val="clear" w:color="auto" w:fill="auto"/>
            <w:tcMar>
              <w:top w:w="0" w:type="dxa"/>
              <w:bottom w:w="0" w:type="dxa"/>
            </w:tcMar>
            <w:vAlign w:val="center"/>
          </w:tcPr>
          <w:p w14:paraId="2E0D1C3B" w14:textId="77777777" w:rsidR="008E3D4B" w:rsidRPr="005367DA" w:rsidRDefault="008E3D4B" w:rsidP="003B5FDD">
            <w:pPr>
              <w:tabs>
                <w:tab w:val="left" w:pos="432"/>
              </w:tabs>
              <w:spacing w:after="120" w:line="360" w:lineRule="auto"/>
              <w:jc w:val="right"/>
              <w:rPr>
                <w:rFonts w:ascii="Arial" w:eastAsia="Arial" w:hAnsi="Arial" w:cs="Arial"/>
                <w:color w:val="010000"/>
                <w:sz w:val="20"/>
                <w:szCs w:val="20"/>
              </w:rPr>
            </w:pPr>
          </w:p>
        </w:tc>
        <w:tc>
          <w:tcPr>
            <w:tcW w:w="608" w:type="pct"/>
            <w:shd w:val="clear" w:color="auto" w:fill="auto"/>
            <w:tcMar>
              <w:top w:w="0" w:type="dxa"/>
              <w:bottom w:w="0" w:type="dxa"/>
            </w:tcMar>
            <w:vAlign w:val="center"/>
          </w:tcPr>
          <w:p w14:paraId="4800BCE7"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(1.82)</w:t>
            </w:r>
          </w:p>
        </w:tc>
        <w:tc>
          <w:tcPr>
            <w:tcW w:w="660" w:type="pct"/>
            <w:shd w:val="clear" w:color="auto" w:fill="auto"/>
            <w:tcMar>
              <w:top w:w="0" w:type="dxa"/>
              <w:bottom w:w="0" w:type="dxa"/>
            </w:tcMar>
            <w:vAlign w:val="center"/>
          </w:tcPr>
          <w:p w14:paraId="5F5BCFF8"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63.41</w:t>
            </w:r>
          </w:p>
        </w:tc>
      </w:tr>
      <w:tr w:rsidR="008E3D4B" w:rsidRPr="005367DA" w14:paraId="5B5560EE" w14:textId="77777777" w:rsidTr="003B5FDD">
        <w:tc>
          <w:tcPr>
            <w:tcW w:w="1949" w:type="pct"/>
            <w:shd w:val="clear" w:color="auto" w:fill="auto"/>
            <w:tcMar>
              <w:top w:w="0" w:type="dxa"/>
              <w:bottom w:w="0" w:type="dxa"/>
            </w:tcMar>
            <w:vAlign w:val="center"/>
          </w:tcPr>
          <w:p w14:paraId="02FAE660"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7, Profit before tax</w:t>
            </w:r>
          </w:p>
        </w:tc>
        <w:tc>
          <w:tcPr>
            <w:tcW w:w="575" w:type="pct"/>
            <w:shd w:val="clear" w:color="auto" w:fill="auto"/>
            <w:tcMar>
              <w:top w:w="0" w:type="dxa"/>
              <w:bottom w:w="0" w:type="dxa"/>
            </w:tcMar>
            <w:vAlign w:val="center"/>
          </w:tcPr>
          <w:p w14:paraId="6E64AF70"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74.13</w:t>
            </w:r>
          </w:p>
        </w:tc>
        <w:tc>
          <w:tcPr>
            <w:tcW w:w="558" w:type="pct"/>
            <w:shd w:val="clear" w:color="auto" w:fill="auto"/>
            <w:tcMar>
              <w:top w:w="0" w:type="dxa"/>
              <w:bottom w:w="0" w:type="dxa"/>
            </w:tcMar>
            <w:vAlign w:val="center"/>
          </w:tcPr>
          <w:p w14:paraId="27AB4F3B" w14:textId="77777777" w:rsidR="008E3D4B" w:rsidRPr="005367DA" w:rsidRDefault="008E3D4B" w:rsidP="003B5FDD">
            <w:pPr>
              <w:tabs>
                <w:tab w:val="left" w:pos="432"/>
              </w:tabs>
              <w:spacing w:after="120" w:line="360" w:lineRule="auto"/>
              <w:jc w:val="right"/>
              <w:rPr>
                <w:rFonts w:ascii="Arial" w:eastAsia="Arial" w:hAnsi="Arial" w:cs="Arial"/>
                <w:color w:val="010000"/>
                <w:sz w:val="20"/>
                <w:szCs w:val="20"/>
              </w:rPr>
            </w:pPr>
          </w:p>
        </w:tc>
        <w:tc>
          <w:tcPr>
            <w:tcW w:w="650" w:type="pct"/>
            <w:shd w:val="clear" w:color="auto" w:fill="auto"/>
            <w:tcMar>
              <w:top w:w="0" w:type="dxa"/>
              <w:bottom w:w="0" w:type="dxa"/>
            </w:tcMar>
            <w:vAlign w:val="center"/>
          </w:tcPr>
          <w:p w14:paraId="720B586E" w14:textId="77777777" w:rsidR="008E3D4B" w:rsidRPr="005367DA" w:rsidRDefault="008E3D4B" w:rsidP="003B5FDD">
            <w:pPr>
              <w:tabs>
                <w:tab w:val="left" w:pos="432"/>
              </w:tabs>
              <w:spacing w:after="120" w:line="360" w:lineRule="auto"/>
              <w:jc w:val="right"/>
              <w:rPr>
                <w:rFonts w:ascii="Arial" w:eastAsia="Arial" w:hAnsi="Arial" w:cs="Arial"/>
                <w:color w:val="010000"/>
                <w:sz w:val="20"/>
                <w:szCs w:val="20"/>
              </w:rPr>
            </w:pPr>
          </w:p>
        </w:tc>
        <w:tc>
          <w:tcPr>
            <w:tcW w:w="608" w:type="pct"/>
            <w:shd w:val="clear" w:color="auto" w:fill="auto"/>
            <w:tcMar>
              <w:top w:w="0" w:type="dxa"/>
              <w:bottom w:w="0" w:type="dxa"/>
            </w:tcMar>
            <w:vAlign w:val="center"/>
          </w:tcPr>
          <w:p w14:paraId="384C7789"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(11.23)</w:t>
            </w:r>
          </w:p>
        </w:tc>
        <w:tc>
          <w:tcPr>
            <w:tcW w:w="660" w:type="pct"/>
            <w:shd w:val="clear" w:color="auto" w:fill="auto"/>
            <w:tcMar>
              <w:top w:w="0" w:type="dxa"/>
              <w:bottom w:w="0" w:type="dxa"/>
            </w:tcMar>
            <w:vAlign w:val="center"/>
          </w:tcPr>
          <w:p w14:paraId="68929B1C"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85 36</w:t>
            </w:r>
          </w:p>
        </w:tc>
      </w:tr>
      <w:tr w:rsidR="008E3D4B" w:rsidRPr="005367DA" w14:paraId="31E9C25C" w14:textId="77777777" w:rsidTr="003B5FDD">
        <w:tc>
          <w:tcPr>
            <w:tcW w:w="1949" w:type="pct"/>
            <w:shd w:val="clear" w:color="auto" w:fill="auto"/>
            <w:tcMar>
              <w:top w:w="0" w:type="dxa"/>
              <w:bottom w:w="0" w:type="dxa"/>
            </w:tcMar>
            <w:vAlign w:val="center"/>
          </w:tcPr>
          <w:p w14:paraId="7574698B" w14:textId="77777777" w:rsidR="008E3D4B" w:rsidRPr="005367DA" w:rsidRDefault="003B5FDD" w:rsidP="003B5FDD">
            <w:pPr>
              <w:pBdr>
                <w:top w:val="nil"/>
                <w:left w:val="nil"/>
                <w:bottom w:val="nil"/>
                <w:right w:val="nil"/>
                <w:between w:val="nil"/>
              </w:pBdr>
              <w:tabs>
                <w:tab w:val="left" w:pos="432"/>
                <w:tab w:val="left" w:pos="3514"/>
              </w:tabs>
              <w:spacing w:after="120" w:line="360" w:lineRule="auto"/>
              <w:rPr>
                <w:rFonts w:ascii="Arial" w:eastAsia="Arial" w:hAnsi="Arial" w:cs="Arial"/>
                <w:color w:val="010000"/>
                <w:sz w:val="20"/>
                <w:szCs w:val="20"/>
              </w:rPr>
            </w:pPr>
            <w:r w:rsidRPr="005367DA">
              <w:rPr>
                <w:rFonts w:ascii="Arial" w:hAnsi="Arial" w:cs="Arial"/>
                <w:color w:val="010000"/>
                <w:sz w:val="20"/>
              </w:rPr>
              <w:t>8, Profit after tax</w:t>
            </w:r>
          </w:p>
        </w:tc>
        <w:tc>
          <w:tcPr>
            <w:tcW w:w="575" w:type="pct"/>
            <w:shd w:val="clear" w:color="auto" w:fill="auto"/>
            <w:tcMar>
              <w:top w:w="0" w:type="dxa"/>
              <w:bottom w:w="0" w:type="dxa"/>
            </w:tcMar>
            <w:vAlign w:val="center"/>
          </w:tcPr>
          <w:p w14:paraId="0E01E698"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74.13</w:t>
            </w:r>
          </w:p>
        </w:tc>
        <w:tc>
          <w:tcPr>
            <w:tcW w:w="558" w:type="pct"/>
            <w:shd w:val="clear" w:color="auto" w:fill="auto"/>
            <w:tcMar>
              <w:top w:w="0" w:type="dxa"/>
              <w:bottom w:w="0" w:type="dxa"/>
            </w:tcMar>
            <w:vAlign w:val="center"/>
          </w:tcPr>
          <w:p w14:paraId="79F81AAD" w14:textId="77777777" w:rsidR="008E3D4B" w:rsidRPr="005367DA" w:rsidRDefault="008E3D4B" w:rsidP="003B5FDD">
            <w:pPr>
              <w:tabs>
                <w:tab w:val="left" w:pos="432"/>
              </w:tabs>
              <w:spacing w:after="120" w:line="360" w:lineRule="auto"/>
              <w:jc w:val="right"/>
              <w:rPr>
                <w:rFonts w:ascii="Arial" w:eastAsia="Arial" w:hAnsi="Arial" w:cs="Arial"/>
                <w:color w:val="010000"/>
                <w:sz w:val="20"/>
                <w:szCs w:val="20"/>
              </w:rPr>
            </w:pPr>
          </w:p>
        </w:tc>
        <w:tc>
          <w:tcPr>
            <w:tcW w:w="650" w:type="pct"/>
            <w:shd w:val="clear" w:color="auto" w:fill="auto"/>
            <w:tcMar>
              <w:top w:w="0" w:type="dxa"/>
              <w:bottom w:w="0" w:type="dxa"/>
            </w:tcMar>
            <w:vAlign w:val="center"/>
          </w:tcPr>
          <w:p w14:paraId="3E24474C" w14:textId="77777777" w:rsidR="008E3D4B" w:rsidRPr="005367DA" w:rsidRDefault="008E3D4B" w:rsidP="003B5FDD">
            <w:pPr>
              <w:pBdr>
                <w:top w:val="nil"/>
                <w:left w:val="nil"/>
                <w:bottom w:val="nil"/>
                <w:right w:val="nil"/>
                <w:between w:val="nil"/>
              </w:pBdr>
              <w:tabs>
                <w:tab w:val="left" w:pos="432"/>
                <w:tab w:val="left" w:pos="1234"/>
              </w:tabs>
              <w:spacing w:after="120" w:line="360" w:lineRule="auto"/>
              <w:jc w:val="right"/>
              <w:rPr>
                <w:rFonts w:ascii="Arial" w:eastAsia="Arial" w:hAnsi="Arial" w:cs="Arial"/>
                <w:color w:val="010000"/>
                <w:sz w:val="20"/>
                <w:szCs w:val="20"/>
              </w:rPr>
            </w:pPr>
          </w:p>
        </w:tc>
        <w:tc>
          <w:tcPr>
            <w:tcW w:w="608" w:type="pct"/>
            <w:shd w:val="clear" w:color="auto" w:fill="auto"/>
            <w:tcMar>
              <w:top w:w="0" w:type="dxa"/>
              <w:bottom w:w="0" w:type="dxa"/>
            </w:tcMar>
            <w:vAlign w:val="center"/>
          </w:tcPr>
          <w:p w14:paraId="10D0108B"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(11.24)</w:t>
            </w:r>
          </w:p>
        </w:tc>
        <w:tc>
          <w:tcPr>
            <w:tcW w:w="660" w:type="pct"/>
            <w:shd w:val="clear" w:color="auto" w:fill="auto"/>
            <w:tcMar>
              <w:top w:w="0" w:type="dxa"/>
              <w:bottom w:w="0" w:type="dxa"/>
            </w:tcMar>
            <w:vAlign w:val="center"/>
          </w:tcPr>
          <w:p w14:paraId="1917677C" w14:textId="77777777" w:rsidR="008E3D4B" w:rsidRPr="005367DA" w:rsidRDefault="003B5FDD" w:rsidP="003B5FD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367DA">
              <w:rPr>
                <w:rFonts w:ascii="Arial" w:hAnsi="Arial" w:cs="Arial"/>
                <w:color w:val="010000"/>
                <w:sz w:val="20"/>
              </w:rPr>
              <w:t xml:space="preserve"> 85.17</w:t>
            </w:r>
          </w:p>
        </w:tc>
      </w:tr>
    </w:tbl>
    <w:p w14:paraId="6FD213BE" w14:textId="77777777" w:rsidR="008E3D4B" w:rsidRPr="005367DA" w:rsidRDefault="003B5FDD" w:rsidP="003B5FDD">
      <w:p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 xml:space="preserve">Some business plan targets for 2024: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44"/>
        <w:gridCol w:w="5172"/>
      </w:tblGrid>
      <w:tr w:rsidR="008E3D4B" w:rsidRPr="005367DA" w14:paraId="4B843C07" w14:textId="77777777" w:rsidTr="003B5FDD">
        <w:tc>
          <w:tcPr>
            <w:tcW w:w="2132" w:type="pct"/>
            <w:shd w:val="clear" w:color="auto" w:fill="auto"/>
            <w:tcMar>
              <w:top w:w="0" w:type="dxa"/>
              <w:bottom w:w="0" w:type="dxa"/>
            </w:tcMar>
            <w:vAlign w:val="center"/>
          </w:tcPr>
          <w:p w14:paraId="694C556F" w14:textId="77777777" w:rsidR="008E3D4B" w:rsidRPr="005367DA" w:rsidRDefault="003B5FDD" w:rsidP="003B5F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67DA">
              <w:rPr>
                <w:rFonts w:ascii="Arial" w:hAnsi="Arial" w:cs="Arial"/>
                <w:color w:val="010000"/>
                <w:sz w:val="20"/>
              </w:rPr>
              <w:t>Target</w:t>
            </w:r>
          </w:p>
        </w:tc>
        <w:tc>
          <w:tcPr>
            <w:tcW w:w="2868" w:type="pct"/>
            <w:shd w:val="clear" w:color="auto" w:fill="auto"/>
            <w:tcMar>
              <w:top w:w="0" w:type="dxa"/>
              <w:bottom w:w="0" w:type="dxa"/>
            </w:tcMar>
            <w:vAlign w:val="center"/>
          </w:tcPr>
          <w:p w14:paraId="30767571" w14:textId="77777777" w:rsidR="008E3D4B" w:rsidRPr="005367DA" w:rsidRDefault="003B5FDD" w:rsidP="003B5F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67DA">
              <w:rPr>
                <w:rFonts w:ascii="Arial" w:hAnsi="Arial" w:cs="Arial"/>
                <w:color w:val="010000"/>
                <w:sz w:val="20"/>
              </w:rPr>
              <w:t>Amount (billion VND)</w:t>
            </w:r>
          </w:p>
        </w:tc>
      </w:tr>
      <w:tr w:rsidR="008E3D4B" w:rsidRPr="005367DA" w14:paraId="5E42D78A" w14:textId="77777777" w:rsidTr="003B5FDD">
        <w:tc>
          <w:tcPr>
            <w:tcW w:w="2132" w:type="pct"/>
            <w:shd w:val="clear" w:color="auto" w:fill="auto"/>
            <w:tcMar>
              <w:top w:w="0" w:type="dxa"/>
              <w:bottom w:w="0" w:type="dxa"/>
            </w:tcMar>
            <w:vAlign w:val="center"/>
          </w:tcPr>
          <w:p w14:paraId="2AFFB96D"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Revenue from main business activities</w:t>
            </w:r>
          </w:p>
        </w:tc>
        <w:tc>
          <w:tcPr>
            <w:tcW w:w="2868" w:type="pct"/>
            <w:shd w:val="clear" w:color="auto" w:fill="auto"/>
            <w:tcMar>
              <w:top w:w="0" w:type="dxa"/>
              <w:bottom w:w="0" w:type="dxa"/>
            </w:tcMar>
            <w:vAlign w:val="center"/>
          </w:tcPr>
          <w:p w14:paraId="2F795F1E" w14:textId="77777777" w:rsidR="008E3D4B" w:rsidRPr="005367DA" w:rsidRDefault="003B5FDD" w:rsidP="003B5F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67DA">
              <w:rPr>
                <w:rFonts w:ascii="Arial" w:hAnsi="Arial" w:cs="Arial"/>
                <w:color w:val="010000"/>
                <w:sz w:val="20"/>
              </w:rPr>
              <w:t>12.05</w:t>
            </w:r>
          </w:p>
        </w:tc>
      </w:tr>
      <w:tr w:rsidR="008E3D4B" w:rsidRPr="005367DA" w14:paraId="293CA2F0" w14:textId="77777777" w:rsidTr="003B5FDD">
        <w:tc>
          <w:tcPr>
            <w:tcW w:w="2132" w:type="pct"/>
            <w:shd w:val="clear" w:color="auto" w:fill="auto"/>
            <w:tcMar>
              <w:top w:w="0" w:type="dxa"/>
              <w:bottom w:w="0" w:type="dxa"/>
            </w:tcMar>
            <w:vAlign w:val="center"/>
          </w:tcPr>
          <w:p w14:paraId="4553BA93"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Profit before fixed costs</w:t>
            </w:r>
          </w:p>
        </w:tc>
        <w:tc>
          <w:tcPr>
            <w:tcW w:w="2868" w:type="pct"/>
            <w:shd w:val="clear" w:color="auto" w:fill="auto"/>
            <w:tcMar>
              <w:top w:w="0" w:type="dxa"/>
              <w:bottom w:w="0" w:type="dxa"/>
            </w:tcMar>
            <w:vAlign w:val="center"/>
          </w:tcPr>
          <w:p w14:paraId="38297364" w14:textId="77777777" w:rsidR="008E3D4B" w:rsidRPr="005367DA" w:rsidRDefault="003B5FDD" w:rsidP="003B5F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67DA">
              <w:rPr>
                <w:rFonts w:ascii="Arial" w:hAnsi="Arial" w:cs="Arial"/>
                <w:color w:val="010000"/>
                <w:sz w:val="20"/>
              </w:rPr>
              <w:t>1.76</w:t>
            </w:r>
          </w:p>
        </w:tc>
      </w:tr>
      <w:tr w:rsidR="008E3D4B" w:rsidRPr="005367DA" w14:paraId="0B8B050E" w14:textId="77777777" w:rsidTr="003B5FDD">
        <w:tc>
          <w:tcPr>
            <w:tcW w:w="2132" w:type="pct"/>
            <w:shd w:val="clear" w:color="auto" w:fill="auto"/>
            <w:tcMar>
              <w:top w:w="0" w:type="dxa"/>
              <w:bottom w:w="0" w:type="dxa"/>
            </w:tcMar>
            <w:vAlign w:val="center"/>
          </w:tcPr>
          <w:p w14:paraId="1643A256"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Profit before tax of main business activities</w:t>
            </w:r>
          </w:p>
        </w:tc>
        <w:tc>
          <w:tcPr>
            <w:tcW w:w="2868" w:type="pct"/>
            <w:shd w:val="clear" w:color="auto" w:fill="auto"/>
            <w:tcMar>
              <w:top w:w="0" w:type="dxa"/>
              <w:bottom w:w="0" w:type="dxa"/>
            </w:tcMar>
            <w:vAlign w:val="center"/>
          </w:tcPr>
          <w:p w14:paraId="3BB78C38" w14:textId="77777777" w:rsidR="008E3D4B" w:rsidRPr="005367DA" w:rsidRDefault="003B5FDD" w:rsidP="003B5F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67DA">
              <w:rPr>
                <w:rFonts w:ascii="Arial" w:hAnsi="Arial" w:cs="Arial"/>
                <w:color w:val="010000"/>
                <w:sz w:val="20"/>
              </w:rPr>
              <w:t>(1.90)</w:t>
            </w:r>
          </w:p>
        </w:tc>
      </w:tr>
      <w:tr w:rsidR="008E3D4B" w:rsidRPr="005367DA" w14:paraId="63061D69" w14:textId="77777777" w:rsidTr="003B5FDD">
        <w:tc>
          <w:tcPr>
            <w:tcW w:w="2132" w:type="pct"/>
            <w:shd w:val="clear" w:color="auto" w:fill="auto"/>
            <w:tcMar>
              <w:top w:w="0" w:type="dxa"/>
              <w:bottom w:w="0" w:type="dxa"/>
            </w:tcMar>
            <w:vAlign w:val="center"/>
          </w:tcPr>
          <w:p w14:paraId="6F4DB337"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Profit before tax of the entire Company</w:t>
            </w:r>
          </w:p>
        </w:tc>
        <w:tc>
          <w:tcPr>
            <w:tcW w:w="2868" w:type="pct"/>
            <w:shd w:val="clear" w:color="auto" w:fill="auto"/>
            <w:tcMar>
              <w:top w:w="0" w:type="dxa"/>
              <w:bottom w:w="0" w:type="dxa"/>
            </w:tcMar>
            <w:vAlign w:val="center"/>
          </w:tcPr>
          <w:p w14:paraId="12E1299D" w14:textId="77777777" w:rsidR="008E3D4B" w:rsidRPr="005367DA" w:rsidRDefault="003B5FDD" w:rsidP="003B5F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367DA">
              <w:rPr>
                <w:rFonts w:ascii="Arial" w:hAnsi="Arial" w:cs="Arial"/>
                <w:color w:val="010000"/>
                <w:sz w:val="20"/>
              </w:rPr>
              <w:t>7.80</w:t>
            </w:r>
          </w:p>
        </w:tc>
      </w:tr>
    </w:tbl>
    <w:p w14:paraId="7CA339E1" w14:textId="77777777" w:rsidR="008E3D4B" w:rsidRPr="005367DA" w:rsidRDefault="003B5FDD" w:rsidP="003B5FDD">
      <w:pPr>
        <w:numPr>
          <w:ilvl w:val="0"/>
          <w:numId w:val="4"/>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General Mandate No. 2: The General Meeting of Shareholders approved the Company's Separate Financial Statements and audited Consolidated Financial Statements 2023.</w:t>
      </w:r>
    </w:p>
    <w:p w14:paraId="1CF06CCB" w14:textId="77777777" w:rsidR="008E3D4B" w:rsidRPr="005367DA" w:rsidRDefault="003B5FDD" w:rsidP="003B5FDD">
      <w:pPr>
        <w:numPr>
          <w:ilvl w:val="0"/>
          <w:numId w:val="4"/>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General Mandate No. 3: The General Meeting of Shareholders approved the Board of Directors' Activity Report in 2023 and the operating plan 2024.</w:t>
      </w:r>
    </w:p>
    <w:p w14:paraId="4E8A6B8E" w14:textId="77777777" w:rsidR="008E3D4B" w:rsidRPr="005367DA" w:rsidRDefault="003B5FDD" w:rsidP="003B5FDD">
      <w:pPr>
        <w:numPr>
          <w:ilvl w:val="0"/>
          <w:numId w:val="4"/>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lastRenderedPageBreak/>
        <w:t>General Mandate No. 4: The General Meeting of Shareholders approved the Supervisory Board's Activity Report in 2023 and the operating plan 2024.</w:t>
      </w:r>
    </w:p>
    <w:p w14:paraId="2F4D0F30" w14:textId="77777777" w:rsidR="008E3D4B" w:rsidRPr="005367DA" w:rsidRDefault="003B5FDD" w:rsidP="003B5FDD">
      <w:pPr>
        <w:numPr>
          <w:ilvl w:val="0"/>
          <w:numId w:val="4"/>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General Mandate No. 5: The General Meeting of Shareholders approved the remuneration of members of the Board of Directors and the Supervisory Board in 2023 and estimated remuneration of the Board of Directors and the Supervisory Board in 2024 according to Proposal No. 18/2024/TTr-HDQT dated April 1, 2024 of the Company's Board of Directors, specifically as follows:</w:t>
      </w:r>
    </w:p>
    <w:p w14:paraId="3A4C6DCB" w14:textId="77777777" w:rsidR="008E3D4B" w:rsidRPr="005367DA" w:rsidRDefault="003B5FDD" w:rsidP="003B5FDD">
      <w:pPr>
        <w:numPr>
          <w:ilvl w:val="1"/>
          <w:numId w:val="4"/>
        </w:numPr>
        <w:pBdr>
          <w:top w:val="nil"/>
          <w:left w:val="nil"/>
          <w:bottom w:val="nil"/>
          <w:right w:val="nil"/>
          <w:between w:val="nil"/>
        </w:pBdr>
        <w:tabs>
          <w:tab w:val="left" w:pos="360"/>
          <w:tab w:val="left" w:pos="432"/>
          <w:tab w:val="right" w:pos="8983"/>
        </w:tabs>
        <w:spacing w:after="120" w:line="360" w:lineRule="auto"/>
        <w:rPr>
          <w:rFonts w:ascii="Arial" w:eastAsia="Arial" w:hAnsi="Arial" w:cs="Arial"/>
          <w:color w:val="010000"/>
          <w:sz w:val="20"/>
          <w:szCs w:val="20"/>
        </w:rPr>
      </w:pPr>
      <w:r w:rsidRPr="005367DA">
        <w:rPr>
          <w:rFonts w:ascii="Arial" w:hAnsi="Arial" w:cs="Arial"/>
          <w:color w:val="010000"/>
          <w:sz w:val="20"/>
        </w:rPr>
        <w:t>Approve the remuneration of the Board of Directors and the Supervisory Board in 2023: VND 297,700,000, including personal income tax (including 12 months' remuneration and 01 month's remuneration on the occasion of Lunar New Year), the total remuneration is included in the Company's business expenses, specifically:</w:t>
      </w:r>
    </w:p>
    <w:p w14:paraId="211CD7EB" w14:textId="77777777" w:rsidR="008E3D4B" w:rsidRPr="005367DA" w:rsidRDefault="003B5FDD" w:rsidP="003B5FDD">
      <w:pPr>
        <w:numPr>
          <w:ilvl w:val="0"/>
          <w:numId w:val="5"/>
        </w:numPr>
        <w:pBdr>
          <w:top w:val="nil"/>
          <w:left w:val="nil"/>
          <w:bottom w:val="nil"/>
          <w:right w:val="nil"/>
          <w:between w:val="nil"/>
        </w:pBdr>
        <w:tabs>
          <w:tab w:val="left" w:pos="432"/>
          <w:tab w:val="left" w:pos="4259"/>
        </w:tabs>
        <w:spacing w:after="120" w:line="360" w:lineRule="auto"/>
        <w:ind w:left="0" w:firstLine="0"/>
        <w:rPr>
          <w:rFonts w:ascii="Arial" w:eastAsia="Arial" w:hAnsi="Arial" w:cs="Arial"/>
          <w:color w:val="010000"/>
          <w:sz w:val="20"/>
          <w:szCs w:val="20"/>
        </w:rPr>
      </w:pPr>
      <w:r w:rsidRPr="005367DA">
        <w:rPr>
          <w:rFonts w:ascii="Arial" w:hAnsi="Arial" w:cs="Arial"/>
          <w:color w:val="010000"/>
          <w:sz w:val="20"/>
        </w:rPr>
        <w:t>Total remuneration of the Board of Directors in 2023:</w:t>
      </w:r>
      <w:r w:rsidRPr="005367DA">
        <w:rPr>
          <w:rFonts w:ascii="Arial" w:hAnsi="Arial" w:cs="Arial"/>
          <w:color w:val="010000"/>
          <w:sz w:val="20"/>
        </w:rPr>
        <w:tab/>
        <w:t>VND 162,500,000</w:t>
      </w:r>
    </w:p>
    <w:p w14:paraId="6A941DAC" w14:textId="77777777" w:rsidR="008E3D4B" w:rsidRPr="005367DA" w:rsidRDefault="003B5FDD" w:rsidP="003B5FDD">
      <w:pPr>
        <w:numPr>
          <w:ilvl w:val="0"/>
          <w:numId w:val="5"/>
        </w:numPr>
        <w:pBdr>
          <w:top w:val="nil"/>
          <w:left w:val="nil"/>
          <w:bottom w:val="nil"/>
          <w:right w:val="nil"/>
          <w:between w:val="nil"/>
        </w:pBdr>
        <w:tabs>
          <w:tab w:val="left" w:pos="432"/>
          <w:tab w:val="left" w:pos="5100"/>
        </w:tabs>
        <w:spacing w:after="120" w:line="360" w:lineRule="auto"/>
        <w:ind w:left="0" w:firstLine="0"/>
        <w:rPr>
          <w:rFonts w:ascii="Arial" w:eastAsia="Arial" w:hAnsi="Arial" w:cs="Arial"/>
          <w:color w:val="010000"/>
          <w:sz w:val="20"/>
          <w:szCs w:val="20"/>
        </w:rPr>
      </w:pPr>
      <w:r w:rsidRPr="005367DA">
        <w:rPr>
          <w:rFonts w:ascii="Arial" w:hAnsi="Arial" w:cs="Arial"/>
          <w:color w:val="010000"/>
          <w:sz w:val="20"/>
        </w:rPr>
        <w:t>Total remuneration of the Supervisory Board in 2023:</w:t>
      </w:r>
      <w:r w:rsidRPr="005367DA">
        <w:rPr>
          <w:rFonts w:ascii="Arial" w:hAnsi="Arial" w:cs="Arial"/>
          <w:color w:val="010000"/>
          <w:sz w:val="20"/>
        </w:rPr>
        <w:tab/>
        <w:t>VND 135,200,000</w:t>
      </w:r>
    </w:p>
    <w:p w14:paraId="4F433E61" w14:textId="77777777" w:rsidR="008E3D4B" w:rsidRPr="005367DA" w:rsidRDefault="003B5FDD" w:rsidP="003B5FDD">
      <w:pPr>
        <w:numPr>
          <w:ilvl w:val="1"/>
          <w:numId w:val="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The remuneration plan for members of the Board of Directors and the Supervisory Board of the Company in 2024 is as follows:</w:t>
      </w:r>
    </w:p>
    <w:p w14:paraId="61BCE27B" w14:textId="77777777" w:rsidR="008E3D4B" w:rsidRPr="005367DA" w:rsidRDefault="003B5FDD" w:rsidP="003B5FDD">
      <w:pPr>
        <w:numPr>
          <w:ilvl w:val="0"/>
          <w:numId w:val="6"/>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Board of Directors (03 members):</w:t>
      </w:r>
    </w:p>
    <w:p w14:paraId="26498152" w14:textId="77777777" w:rsidR="008E3D4B" w:rsidRPr="005367DA" w:rsidRDefault="003B5FDD" w:rsidP="003B5FDD">
      <w:pPr>
        <w:numPr>
          <w:ilvl w:val="0"/>
          <w:numId w:val="1"/>
        </w:numPr>
        <w:pBdr>
          <w:top w:val="nil"/>
          <w:left w:val="nil"/>
          <w:bottom w:val="nil"/>
          <w:right w:val="nil"/>
          <w:between w:val="nil"/>
        </w:pBdr>
        <w:tabs>
          <w:tab w:val="left" w:pos="432"/>
          <w:tab w:val="left" w:pos="5100"/>
        </w:tabs>
        <w:spacing w:after="120" w:line="360" w:lineRule="auto"/>
        <w:ind w:left="0" w:firstLine="0"/>
        <w:rPr>
          <w:rFonts w:ascii="Arial" w:eastAsia="Arial" w:hAnsi="Arial" w:cs="Arial"/>
          <w:color w:val="010000"/>
          <w:sz w:val="20"/>
          <w:szCs w:val="20"/>
        </w:rPr>
      </w:pPr>
      <w:r w:rsidRPr="005367DA">
        <w:rPr>
          <w:rFonts w:ascii="Arial" w:hAnsi="Arial" w:cs="Arial"/>
          <w:color w:val="010000"/>
          <w:sz w:val="20"/>
        </w:rPr>
        <w:t xml:space="preserve"> Chair of the Board of Directors</w:t>
      </w:r>
      <w:r w:rsidRPr="005367DA">
        <w:rPr>
          <w:rFonts w:ascii="Arial" w:hAnsi="Arial" w:cs="Arial"/>
          <w:color w:val="010000"/>
          <w:sz w:val="20"/>
        </w:rPr>
        <w:tab/>
        <w:t>VND 4,500,000/month</w:t>
      </w:r>
    </w:p>
    <w:p w14:paraId="6CF2EB32" w14:textId="77777777" w:rsidR="008E3D4B" w:rsidRPr="005367DA" w:rsidRDefault="003B5FDD" w:rsidP="003B5FDD">
      <w:pPr>
        <w:numPr>
          <w:ilvl w:val="0"/>
          <w:numId w:val="1"/>
        </w:numPr>
        <w:pBdr>
          <w:top w:val="nil"/>
          <w:left w:val="nil"/>
          <w:bottom w:val="nil"/>
          <w:right w:val="nil"/>
          <w:between w:val="nil"/>
        </w:pBdr>
        <w:tabs>
          <w:tab w:val="left" w:pos="432"/>
          <w:tab w:val="left" w:pos="5100"/>
        </w:tabs>
        <w:spacing w:after="120" w:line="360" w:lineRule="auto"/>
        <w:ind w:left="0" w:firstLine="0"/>
        <w:rPr>
          <w:rFonts w:ascii="Arial" w:eastAsia="Arial" w:hAnsi="Arial" w:cs="Arial"/>
          <w:color w:val="010000"/>
          <w:sz w:val="20"/>
          <w:szCs w:val="20"/>
        </w:rPr>
      </w:pPr>
      <w:r w:rsidRPr="005367DA">
        <w:rPr>
          <w:rFonts w:ascii="Arial" w:hAnsi="Arial" w:cs="Arial"/>
          <w:color w:val="010000"/>
          <w:sz w:val="20"/>
        </w:rPr>
        <w:t>Member of the Board of Directors</w:t>
      </w:r>
      <w:r w:rsidRPr="005367DA">
        <w:rPr>
          <w:rFonts w:ascii="Arial" w:hAnsi="Arial" w:cs="Arial"/>
          <w:color w:val="010000"/>
          <w:sz w:val="20"/>
        </w:rPr>
        <w:tab/>
        <w:t>VND 4,000,000/person/month</w:t>
      </w:r>
    </w:p>
    <w:p w14:paraId="3E35D726" w14:textId="77777777" w:rsidR="008E3D4B" w:rsidRPr="005367DA" w:rsidRDefault="003B5FDD" w:rsidP="003B5FDD">
      <w:pPr>
        <w:numPr>
          <w:ilvl w:val="0"/>
          <w:numId w:val="6"/>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The Supervisory Board (03 members):</w:t>
      </w:r>
    </w:p>
    <w:p w14:paraId="328B9B8E" w14:textId="77777777" w:rsidR="008E3D4B" w:rsidRPr="005367DA" w:rsidRDefault="003B5FDD" w:rsidP="003B5FDD">
      <w:pPr>
        <w:numPr>
          <w:ilvl w:val="0"/>
          <w:numId w:val="2"/>
        </w:numPr>
        <w:pBdr>
          <w:top w:val="nil"/>
          <w:left w:val="nil"/>
          <w:bottom w:val="nil"/>
          <w:right w:val="nil"/>
          <w:between w:val="nil"/>
        </w:pBdr>
        <w:tabs>
          <w:tab w:val="left" w:pos="432"/>
          <w:tab w:val="left" w:pos="5100"/>
        </w:tabs>
        <w:spacing w:after="120" w:line="360" w:lineRule="auto"/>
        <w:ind w:left="0" w:firstLine="0"/>
        <w:rPr>
          <w:rFonts w:ascii="Arial" w:eastAsia="Arial" w:hAnsi="Arial" w:cs="Arial"/>
          <w:color w:val="010000"/>
          <w:sz w:val="20"/>
          <w:szCs w:val="20"/>
        </w:rPr>
      </w:pPr>
      <w:r w:rsidRPr="005367DA">
        <w:rPr>
          <w:rFonts w:ascii="Arial" w:hAnsi="Arial" w:cs="Arial"/>
          <w:color w:val="010000"/>
          <w:sz w:val="20"/>
        </w:rPr>
        <w:t>Chief of the Supervisory Board</w:t>
      </w:r>
      <w:r w:rsidRPr="005367DA">
        <w:rPr>
          <w:rFonts w:ascii="Arial" w:hAnsi="Arial" w:cs="Arial"/>
          <w:color w:val="010000"/>
          <w:sz w:val="20"/>
        </w:rPr>
        <w:tab/>
        <w:t>VND 4,000,000/month</w:t>
      </w:r>
    </w:p>
    <w:p w14:paraId="30DB6CC1" w14:textId="77777777" w:rsidR="008E3D4B" w:rsidRPr="005367DA" w:rsidRDefault="003B5FDD" w:rsidP="003B5FDD">
      <w:pPr>
        <w:numPr>
          <w:ilvl w:val="0"/>
          <w:numId w:val="2"/>
        </w:numPr>
        <w:pBdr>
          <w:top w:val="nil"/>
          <w:left w:val="nil"/>
          <w:bottom w:val="nil"/>
          <w:right w:val="nil"/>
          <w:between w:val="nil"/>
        </w:pBdr>
        <w:tabs>
          <w:tab w:val="left" w:pos="432"/>
          <w:tab w:val="left" w:pos="5100"/>
        </w:tabs>
        <w:spacing w:after="120" w:line="360" w:lineRule="auto"/>
        <w:ind w:left="0" w:firstLine="0"/>
        <w:rPr>
          <w:rFonts w:ascii="Arial" w:eastAsia="Arial" w:hAnsi="Arial" w:cs="Arial"/>
          <w:color w:val="010000"/>
          <w:sz w:val="20"/>
          <w:szCs w:val="20"/>
        </w:rPr>
      </w:pPr>
      <w:r w:rsidRPr="005367DA">
        <w:rPr>
          <w:rFonts w:ascii="Arial" w:hAnsi="Arial" w:cs="Arial"/>
          <w:color w:val="010000"/>
          <w:sz w:val="20"/>
        </w:rPr>
        <w:t>Members of the Supervisory Board</w:t>
      </w:r>
      <w:r w:rsidRPr="005367DA">
        <w:rPr>
          <w:rFonts w:ascii="Arial" w:hAnsi="Arial" w:cs="Arial"/>
          <w:color w:val="010000"/>
          <w:sz w:val="20"/>
        </w:rPr>
        <w:tab/>
        <w:t>VND 3,200,000/person/month</w:t>
      </w:r>
    </w:p>
    <w:p w14:paraId="6CE7FD9B"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Total estimated remuneration of members of the Board of Directors and the Supervisory Board in 2024: VND 297,700,000, including personal income tax (including 12 months' remuneration and 01 month's remuneration on the occasion of Lunar New Year).</w:t>
      </w:r>
    </w:p>
    <w:p w14:paraId="1AF906D1" w14:textId="77777777" w:rsidR="008E3D4B" w:rsidRPr="005367DA" w:rsidRDefault="003B5FDD" w:rsidP="003B5FDD">
      <w:pPr>
        <w:numPr>
          <w:ilvl w:val="0"/>
          <w:numId w:val="4"/>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General Mandate No. 6: The General Meeting of Shareholders approved the authorization for the Board of Directors to decide on the selection of an audit company to audit the Company's Financial Statements 2024.</w:t>
      </w:r>
    </w:p>
    <w:p w14:paraId="5E873BCB" w14:textId="77777777" w:rsidR="008E3D4B" w:rsidRPr="005367DA" w:rsidRDefault="003B5FDD" w:rsidP="003B5FDD">
      <w:pPr>
        <w:numPr>
          <w:ilvl w:val="0"/>
          <w:numId w:val="4"/>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General Mandate No. 7: The General Meeting of Shareholders approved no fund appropriation and no dividend distribution to shareholders according to Proposal No. 17/2024/TTr-HDQT dated April 1, 2024 on the Company's profit distribution plan 2023.</w:t>
      </w:r>
    </w:p>
    <w:p w14:paraId="050DB99C" w14:textId="77777777" w:rsidR="008E3D4B" w:rsidRPr="005367DA" w:rsidRDefault="003B5FDD" w:rsidP="003B5FDD">
      <w:pPr>
        <w:numPr>
          <w:ilvl w:val="0"/>
          <w:numId w:val="3"/>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Profit after tax in 2023: VND 74,128,661,300;</w:t>
      </w:r>
    </w:p>
    <w:p w14:paraId="7A96477F" w14:textId="77777777" w:rsidR="008E3D4B" w:rsidRPr="005367DA" w:rsidRDefault="003B5FDD" w:rsidP="003B5FDD">
      <w:pPr>
        <w:numPr>
          <w:ilvl w:val="0"/>
          <w:numId w:val="3"/>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Undistributed profit after tax as of December 31, 2023: - VND 3,023,819,131.</w:t>
      </w:r>
    </w:p>
    <w:p w14:paraId="7241CB52" w14:textId="77777777" w:rsidR="008E3D4B" w:rsidRPr="005367DA" w:rsidRDefault="003B5FDD" w:rsidP="003B5FDD">
      <w:pPr>
        <w:numPr>
          <w:ilvl w:val="0"/>
          <w:numId w:val="4"/>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General Mandate No. 8: The General Meeting of Shareholders approved the dismissal and election of replacement members of the Supervisory Board for the remaining period of the 2021 - 2026 term as follows:</w:t>
      </w:r>
    </w:p>
    <w:p w14:paraId="6121F01D" w14:textId="77777777" w:rsidR="008E3D4B" w:rsidRPr="005367DA" w:rsidRDefault="003B5FDD" w:rsidP="003B5FDD">
      <w:pPr>
        <w:numPr>
          <w:ilvl w:val="0"/>
          <w:numId w:val="3"/>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lastRenderedPageBreak/>
        <w:t>Mr. Kieu Manh Hung resigned as a member of the Supervisory Board for the 2021-2026 term.</w:t>
      </w:r>
    </w:p>
    <w:p w14:paraId="6E0574F4" w14:textId="77777777" w:rsidR="008E3D4B" w:rsidRPr="005367DA" w:rsidRDefault="003B5FDD" w:rsidP="003B5FDD">
      <w:pPr>
        <w:numPr>
          <w:ilvl w:val="0"/>
          <w:numId w:val="3"/>
        </w:numPr>
        <w:pBdr>
          <w:top w:val="nil"/>
          <w:left w:val="nil"/>
          <w:bottom w:val="nil"/>
          <w:right w:val="nil"/>
          <w:between w:val="nil"/>
        </w:pBdr>
        <w:tabs>
          <w:tab w:val="left" w:pos="432"/>
          <w:tab w:val="left" w:pos="4259"/>
        </w:tabs>
        <w:spacing w:after="120" w:line="360" w:lineRule="auto"/>
        <w:rPr>
          <w:rFonts w:ascii="Arial" w:eastAsia="Arial" w:hAnsi="Arial" w:cs="Arial"/>
          <w:color w:val="010000"/>
          <w:sz w:val="20"/>
          <w:szCs w:val="20"/>
        </w:rPr>
      </w:pPr>
      <w:r w:rsidRPr="005367DA">
        <w:rPr>
          <w:rFonts w:ascii="Arial" w:hAnsi="Arial" w:cs="Arial"/>
          <w:color w:val="010000"/>
          <w:sz w:val="20"/>
        </w:rPr>
        <w:t>Mr. Nguyen Dang Viet Trung was elected as a member of the Supervisory Board for the remaining period of the 2021-2026 term.</w:t>
      </w:r>
    </w:p>
    <w:p w14:paraId="6264AE79" w14:textId="77777777" w:rsidR="008E3D4B" w:rsidRPr="005367DA" w:rsidRDefault="003B5FDD" w:rsidP="003B5FDD">
      <w:pPr>
        <w:numPr>
          <w:ilvl w:val="0"/>
          <w:numId w:val="4"/>
        </w:numPr>
        <w:pBdr>
          <w:top w:val="nil"/>
          <w:left w:val="nil"/>
          <w:bottom w:val="nil"/>
          <w:right w:val="nil"/>
          <w:between w:val="nil"/>
        </w:pBdr>
        <w:tabs>
          <w:tab w:val="left" w:pos="180"/>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General Mandate No. 9: The General Meeting of Shareholders fully authorizes the Board of Directors and allows the Board of Directors to authorize the Chair of the Board of Directors or other members to consider, decide, organize the implementation of issues approved by the General Meeting of Shareholders and consider and decide on the contents arising under the authority of the General Meeting of Shareholders that must be resolved between two Annual General Meetings of Shareholders; Carry out relevant procedures according to regulations. The contents of General Mandates and authorizations according to the Annual General Mandate 2023 take effect from the date of approval and have no validity limit until the General Meeting of Shareholders has another General Mandate to replace it.</w:t>
      </w:r>
    </w:p>
    <w:p w14:paraId="4B863F48"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367DA">
        <w:rPr>
          <w:rFonts w:ascii="Arial" w:hAnsi="Arial" w:cs="Arial"/>
          <w:color w:val="010000"/>
          <w:sz w:val="20"/>
        </w:rPr>
        <w:t>Article 2: This General Mandate takes effect from the date of its signing.</w:t>
      </w:r>
    </w:p>
    <w:p w14:paraId="78369980" w14:textId="77777777" w:rsidR="008E3D4B" w:rsidRPr="005367DA" w:rsidRDefault="003B5FDD" w:rsidP="003B5FDD">
      <w:pPr>
        <w:pBdr>
          <w:top w:val="nil"/>
          <w:left w:val="nil"/>
          <w:bottom w:val="nil"/>
          <w:right w:val="nil"/>
          <w:between w:val="nil"/>
        </w:pBdr>
        <w:tabs>
          <w:tab w:val="left" w:pos="432"/>
        </w:tabs>
        <w:spacing w:after="120" w:line="360" w:lineRule="auto"/>
        <w:rPr>
          <w:rFonts w:ascii="Arial" w:eastAsia="Arial" w:hAnsi="Arial" w:cs="Arial"/>
          <w:color w:val="010000"/>
          <w:sz w:val="20"/>
          <w:szCs w:val="20"/>
        </w:rPr>
        <w:sectPr w:rsidR="008E3D4B" w:rsidRPr="005367DA" w:rsidSect="003B5FDD">
          <w:pgSz w:w="11906" w:h="16838"/>
          <w:pgMar w:top="1440" w:right="1440" w:bottom="1440" w:left="1440" w:header="0" w:footer="3" w:gutter="0"/>
          <w:pgNumType w:start="1"/>
          <w:cols w:space="720"/>
          <w:docGrid w:linePitch="326"/>
        </w:sectPr>
      </w:pPr>
      <w:r w:rsidRPr="005367DA">
        <w:rPr>
          <w:rFonts w:ascii="Arial" w:hAnsi="Arial" w:cs="Arial"/>
          <w:color w:val="010000"/>
          <w:sz w:val="20"/>
        </w:rPr>
        <w:t>Shareholders, the Board of Directors, the Supervisory Board, the Board of Management, Heads of departments/branches/units under the Company and related individuals are responsible for implementing this General Mandate.</w:t>
      </w:r>
    </w:p>
    <w:p w14:paraId="61ABB65D" w14:textId="77777777" w:rsidR="008E3D4B" w:rsidRPr="005367DA" w:rsidRDefault="008E3D4B" w:rsidP="003B5FDD">
      <w:pPr>
        <w:tabs>
          <w:tab w:val="left" w:pos="432"/>
        </w:tabs>
        <w:spacing w:after="120" w:line="360" w:lineRule="auto"/>
        <w:rPr>
          <w:rFonts w:ascii="Arial" w:eastAsia="Arial" w:hAnsi="Arial" w:cs="Arial"/>
          <w:color w:val="010000"/>
          <w:sz w:val="20"/>
          <w:szCs w:val="20"/>
        </w:rPr>
      </w:pPr>
    </w:p>
    <w:sectPr w:rsidR="008E3D4B" w:rsidRPr="005367DA" w:rsidSect="003B5FDD">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43C4"/>
    <w:multiLevelType w:val="multilevel"/>
    <w:tmpl w:val="E1F4ED76"/>
    <w:lvl w:ilvl="0">
      <w:start w:val="1"/>
      <w:numFmt w:val="bullet"/>
      <w:lvlText w:val="+"/>
      <w:lvlJc w:val="left"/>
      <w:pPr>
        <w:ind w:left="720" w:hanging="72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A401E"/>
    <w:multiLevelType w:val="multilevel"/>
    <w:tmpl w:val="1798A5A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9C7563C"/>
    <w:multiLevelType w:val="multilevel"/>
    <w:tmpl w:val="D2246600"/>
    <w:lvl w:ilvl="0">
      <w:start w:val="1"/>
      <w:numFmt w:val="bullet"/>
      <w:lvlText w:val="+"/>
      <w:lvlJc w:val="left"/>
      <w:pPr>
        <w:ind w:left="720" w:hanging="72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F40C29"/>
    <w:multiLevelType w:val="multilevel"/>
    <w:tmpl w:val="90E66F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98155F1"/>
    <w:multiLevelType w:val="multilevel"/>
    <w:tmpl w:val="77EAE5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E217DDA"/>
    <w:multiLevelType w:val="multilevel"/>
    <w:tmpl w:val="43B86408"/>
    <w:lvl w:ilvl="0">
      <w:start w:val="1"/>
      <w:numFmt w:val="bullet"/>
      <w:lvlText w:val="+"/>
      <w:lvlJc w:val="left"/>
      <w:pPr>
        <w:ind w:left="720" w:hanging="72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4B"/>
    <w:rsid w:val="003B5FDD"/>
    <w:rsid w:val="005367DA"/>
    <w:rsid w:val="008E3D4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65889"/>
  <w15:docId w15:val="{8156B89D-2BEA-403D-A387-45A07EC6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A5A6E"/>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A5A6E"/>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EE6B92"/>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E6B92"/>
      <w:sz w:val="15"/>
      <w:szCs w:val="15"/>
      <w:u w:val="none"/>
      <w:shd w:val="clear" w:color="auto" w:fill="auto"/>
    </w:rPr>
  </w:style>
  <w:style w:type="paragraph" w:styleId="BodyText">
    <w:name w:val="Body Text"/>
    <w:basedOn w:val="Normal"/>
    <w:link w:val="BodyTextChar"/>
    <w:qFormat/>
    <w:pPr>
      <w:spacing w:line="283" w:lineRule="auto"/>
    </w:pPr>
    <w:rPr>
      <w:rFonts w:ascii="Times New Roman" w:eastAsia="Times New Roman" w:hAnsi="Times New Roman" w:cs="Times New Roman"/>
      <w:color w:val="5A5A6E"/>
      <w:sz w:val="22"/>
      <w:szCs w:val="22"/>
    </w:rPr>
  </w:style>
  <w:style w:type="paragraph" w:customStyle="1" w:styleId="Heading11">
    <w:name w:val="Heading #1"/>
    <w:basedOn w:val="Normal"/>
    <w:link w:val="Heading10"/>
    <w:pPr>
      <w:spacing w:line="257" w:lineRule="auto"/>
      <w:ind w:left="1800"/>
      <w:outlineLvl w:val="0"/>
    </w:pPr>
    <w:rPr>
      <w:rFonts w:ascii="Times New Roman" w:eastAsia="Times New Roman" w:hAnsi="Times New Roman" w:cs="Times New Roman"/>
      <w:b/>
      <w:bCs/>
      <w:color w:val="5A5A6E"/>
      <w:sz w:val="26"/>
      <w:szCs w:val="26"/>
    </w:rPr>
  </w:style>
  <w:style w:type="paragraph" w:customStyle="1" w:styleId="Bodytext20">
    <w:name w:val="Body text (2)"/>
    <w:basedOn w:val="Normal"/>
    <w:link w:val="Bodytext2"/>
    <w:pPr>
      <w:spacing w:line="276" w:lineRule="auto"/>
      <w:jc w:val="right"/>
    </w:pPr>
    <w:rPr>
      <w:rFonts w:ascii="Arial" w:eastAsia="Arial" w:hAnsi="Arial" w:cs="Arial"/>
      <w:b/>
      <w:bCs/>
      <w:color w:val="EE6B92"/>
      <w:sz w:val="18"/>
      <w:szCs w:val="18"/>
    </w:rPr>
  </w:style>
  <w:style w:type="paragraph" w:customStyle="1" w:styleId="Bodytext30">
    <w:name w:val="Body text (3)"/>
    <w:basedOn w:val="Normal"/>
    <w:link w:val="Bodytext3"/>
    <w:rPr>
      <w:rFonts w:ascii="Arial" w:eastAsia="Arial" w:hAnsi="Arial" w:cs="Arial"/>
      <w:b/>
      <w:bCs/>
      <w:color w:val="EE6B92"/>
      <w:sz w:val="15"/>
      <w:szCs w:val="15"/>
    </w:rPr>
  </w:style>
  <w:style w:type="character" w:customStyle="1" w:styleId="Other">
    <w:name w:val="Other_"/>
    <w:basedOn w:val="DefaultParagraphFont"/>
    <w:link w:val="Other0"/>
    <w:rsid w:val="002E2538"/>
    <w:rPr>
      <w:rFonts w:ascii="Times New Roman" w:eastAsia="Times New Roman" w:hAnsi="Times New Roman" w:cs="Times New Roman"/>
      <w:sz w:val="22"/>
      <w:szCs w:val="22"/>
    </w:rPr>
  </w:style>
  <w:style w:type="paragraph" w:customStyle="1" w:styleId="Other0">
    <w:name w:val="Other"/>
    <w:basedOn w:val="Normal"/>
    <w:link w:val="Other"/>
    <w:rsid w:val="002E2538"/>
    <w:pPr>
      <w:spacing w:line="290" w:lineRule="auto"/>
      <w:ind w:firstLine="280"/>
    </w:pPr>
    <w:rPr>
      <w:rFonts w:ascii="Times New Roman" w:eastAsia="Times New Roman" w:hAnsi="Times New Roman" w:cs="Times New Roman"/>
      <w:color w:val="auto"/>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HHhWvmbFx1u08l9+axulgvgLoQ==">CgMxLjA4AHIhMWpmT1ItenFNaWJqNV9teF9mdEdqdHYySGZpU0R2ZmRs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4476</Characters>
  <Application>Microsoft Office Word</Application>
  <DocSecurity>0</DocSecurity>
  <Lines>139</Lines>
  <Paragraphs>96</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2024-04-26T02:24:00Z</dcterms:created>
  <dcterms:modified xsi:type="dcterms:W3CDTF">2024-05-02T02:45:00Z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d3af634b85043a595eacef3883e02aecd6be76a72cf73e3ad1f84f772c9ff5ca</vt:lpwstr>
  </property>
</Properties>
</file>