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E0A1" w14:textId="77777777" w:rsidR="00F861ED" w:rsidRPr="00587341" w:rsidRDefault="00F861ED" w:rsidP="00587341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87341">
        <w:rPr>
          <w:rFonts w:ascii="Arial" w:hAnsi="Arial" w:cs="Arial"/>
          <w:b/>
          <w:color w:val="010000"/>
          <w:sz w:val="20"/>
        </w:rPr>
        <w:t>X77: Annual General Mandate 2024</w:t>
      </w:r>
    </w:p>
    <w:p w14:paraId="3A5DE2CD" w14:textId="77777777" w:rsidR="007D3ED7" w:rsidRPr="00587341" w:rsidRDefault="001D608D" w:rsidP="00587341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7D3ED7" w:rsidRPr="00587341" w:rsidSect="00587341">
          <w:headerReference w:type="default" r:id="rId8"/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587341">
        <w:rPr>
          <w:rFonts w:ascii="Arial" w:hAnsi="Arial" w:cs="Arial"/>
          <w:color w:val="010000"/>
          <w:sz w:val="20"/>
        </w:rPr>
        <w:t xml:space="preserve">On </w:t>
      </w:r>
      <w:r w:rsidRPr="00587341">
        <w:rPr>
          <w:rFonts w:ascii="Arial" w:hAnsi="Arial" w:cs="Arial"/>
          <w:color w:val="010000"/>
          <w:sz w:val="20"/>
        </w:rPr>
        <w:t>April</w:t>
      </w:r>
      <w:r w:rsidRPr="00587341">
        <w:rPr>
          <w:rFonts w:ascii="Arial" w:hAnsi="Arial" w:cs="Arial"/>
          <w:color w:val="010000"/>
          <w:sz w:val="20"/>
        </w:rPr>
        <w:t xml:space="preserve"> </w:t>
      </w:r>
      <w:r w:rsidRPr="00587341">
        <w:rPr>
          <w:rFonts w:ascii="Arial" w:hAnsi="Arial" w:cs="Arial"/>
          <w:color w:val="010000"/>
          <w:sz w:val="20"/>
        </w:rPr>
        <w:t>22</w:t>
      </w:r>
      <w:r w:rsidRPr="00587341">
        <w:rPr>
          <w:rFonts w:ascii="Arial" w:hAnsi="Arial" w:cs="Arial"/>
          <w:color w:val="010000"/>
          <w:sz w:val="20"/>
        </w:rPr>
        <w:t xml:space="preserve">, </w:t>
      </w:r>
      <w:r w:rsidRPr="00587341">
        <w:rPr>
          <w:rFonts w:ascii="Arial" w:hAnsi="Arial" w:cs="Arial"/>
          <w:color w:val="010000"/>
          <w:sz w:val="20"/>
        </w:rPr>
        <w:t>2024</w:t>
      </w:r>
      <w:r w:rsidRPr="00587341">
        <w:rPr>
          <w:rFonts w:ascii="Arial" w:hAnsi="Arial" w:cs="Arial"/>
          <w:color w:val="010000"/>
          <w:sz w:val="20"/>
        </w:rPr>
        <w:t xml:space="preserve">, Thanh An </w:t>
      </w:r>
      <w:r w:rsidRPr="00587341">
        <w:rPr>
          <w:rFonts w:ascii="Arial" w:hAnsi="Arial" w:cs="Arial"/>
          <w:color w:val="010000"/>
          <w:sz w:val="20"/>
        </w:rPr>
        <w:t>77</w:t>
      </w:r>
      <w:r w:rsidRPr="00587341">
        <w:rPr>
          <w:rFonts w:ascii="Arial" w:hAnsi="Arial" w:cs="Arial"/>
          <w:color w:val="010000"/>
          <w:sz w:val="20"/>
        </w:rPr>
        <w:t xml:space="preserve"> Joint stock company announced General Mandate No. </w:t>
      </w:r>
      <w:r w:rsidRPr="00587341">
        <w:rPr>
          <w:rFonts w:ascii="Arial" w:hAnsi="Arial" w:cs="Arial"/>
          <w:color w:val="010000"/>
          <w:sz w:val="20"/>
        </w:rPr>
        <w:t>01</w:t>
      </w:r>
      <w:r w:rsidRPr="00587341">
        <w:rPr>
          <w:rFonts w:ascii="Arial" w:hAnsi="Arial" w:cs="Arial"/>
          <w:color w:val="010000"/>
          <w:sz w:val="20"/>
        </w:rPr>
        <w:t xml:space="preserve">/NQ-DHDCD </w:t>
      </w:r>
      <w:r w:rsidRPr="00587341">
        <w:rPr>
          <w:rFonts w:ascii="Arial" w:hAnsi="Arial" w:cs="Arial"/>
          <w:color w:val="010000"/>
          <w:sz w:val="20"/>
        </w:rPr>
        <w:t>2024</w:t>
      </w:r>
      <w:r w:rsidRPr="00587341">
        <w:rPr>
          <w:rFonts w:ascii="Arial" w:hAnsi="Arial" w:cs="Arial"/>
          <w:color w:val="010000"/>
          <w:sz w:val="20"/>
        </w:rPr>
        <w:t xml:space="preserve"> as follows</w:t>
      </w:r>
      <w:r w:rsidRPr="00587341">
        <w:rPr>
          <w:rFonts w:ascii="Arial" w:hAnsi="Arial" w:cs="Arial"/>
          <w:color w:val="010000"/>
          <w:sz w:val="20"/>
        </w:rPr>
        <w:t>:</w:t>
      </w:r>
    </w:p>
    <w:p w14:paraId="3ED2A319" w14:textId="3D486B7F" w:rsidR="007D3ED7" w:rsidRPr="00587341" w:rsidRDefault="001D608D" w:rsidP="005873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Article </w:t>
      </w:r>
      <w:r w:rsidRPr="00587341">
        <w:rPr>
          <w:rFonts w:ascii="Arial" w:hAnsi="Arial" w:cs="Arial"/>
          <w:color w:val="010000"/>
          <w:sz w:val="20"/>
        </w:rPr>
        <w:t>1:</w:t>
      </w:r>
      <w:r w:rsidRPr="00587341">
        <w:rPr>
          <w:rFonts w:ascii="Arial" w:hAnsi="Arial" w:cs="Arial"/>
          <w:color w:val="010000"/>
          <w:sz w:val="20"/>
        </w:rPr>
        <w:t xml:space="preserve"> The Annual General Meeting of Shareholders </w:t>
      </w:r>
      <w:r w:rsidRPr="00587341">
        <w:rPr>
          <w:rFonts w:ascii="Arial" w:hAnsi="Arial" w:cs="Arial"/>
          <w:color w:val="010000"/>
          <w:sz w:val="20"/>
        </w:rPr>
        <w:t>2024</w:t>
      </w:r>
      <w:r w:rsidRPr="00587341">
        <w:rPr>
          <w:rFonts w:ascii="Arial" w:hAnsi="Arial" w:cs="Arial"/>
          <w:color w:val="010000"/>
          <w:sz w:val="20"/>
        </w:rPr>
        <w:t xml:space="preserve"> of Thanh An </w:t>
      </w:r>
      <w:r w:rsidRPr="00587341">
        <w:rPr>
          <w:rFonts w:ascii="Arial" w:hAnsi="Arial" w:cs="Arial"/>
          <w:color w:val="010000"/>
          <w:sz w:val="20"/>
        </w:rPr>
        <w:t>77</w:t>
      </w:r>
      <w:r w:rsidRPr="00587341">
        <w:rPr>
          <w:rFonts w:ascii="Arial" w:hAnsi="Arial" w:cs="Arial"/>
          <w:color w:val="010000"/>
          <w:sz w:val="20"/>
        </w:rPr>
        <w:t xml:space="preserve"> Joint stock company unanimously approved the following reports and propo</w:t>
      </w:r>
      <w:r w:rsidRPr="00587341">
        <w:rPr>
          <w:rFonts w:ascii="Arial" w:hAnsi="Arial" w:cs="Arial"/>
          <w:color w:val="010000"/>
          <w:sz w:val="20"/>
        </w:rPr>
        <w:t>sals</w:t>
      </w:r>
      <w:r w:rsidRPr="00587341">
        <w:rPr>
          <w:rFonts w:ascii="Arial" w:hAnsi="Arial" w:cs="Arial"/>
          <w:color w:val="010000"/>
          <w:sz w:val="20"/>
        </w:rPr>
        <w:t>:</w:t>
      </w:r>
    </w:p>
    <w:p w14:paraId="31C7BAA5" w14:textId="77777777" w:rsidR="007D3ED7" w:rsidRPr="00587341" w:rsidRDefault="001D608D" w:rsidP="00587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Report of the Board of Directors and the Executive Board in </w:t>
      </w:r>
      <w:r w:rsidRPr="00587341">
        <w:rPr>
          <w:rFonts w:ascii="Arial" w:hAnsi="Arial" w:cs="Arial"/>
          <w:color w:val="010000"/>
          <w:sz w:val="20"/>
        </w:rPr>
        <w:t>2023</w:t>
      </w:r>
      <w:r w:rsidRPr="00587341">
        <w:rPr>
          <w:rFonts w:ascii="Arial" w:hAnsi="Arial" w:cs="Arial"/>
          <w:color w:val="010000"/>
          <w:sz w:val="20"/>
        </w:rPr>
        <w:t xml:space="preserve"> and directions for </w:t>
      </w:r>
      <w:r w:rsidRPr="00587341">
        <w:rPr>
          <w:rFonts w:ascii="Arial" w:hAnsi="Arial" w:cs="Arial"/>
          <w:color w:val="010000"/>
          <w:sz w:val="20"/>
        </w:rPr>
        <w:t>2024</w:t>
      </w:r>
      <w:r w:rsidRPr="00587341">
        <w:rPr>
          <w:rFonts w:ascii="Arial" w:hAnsi="Arial" w:cs="Arial"/>
          <w:color w:val="010000"/>
          <w:sz w:val="20"/>
        </w:rPr>
        <w:t xml:space="preserve"> </w:t>
      </w:r>
    </w:p>
    <w:p w14:paraId="56500722" w14:textId="77777777" w:rsidR="007D3ED7" w:rsidRPr="00587341" w:rsidRDefault="001D608D" w:rsidP="00587341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a. Production and business results </w:t>
      </w:r>
      <w:r w:rsidRPr="00587341">
        <w:rPr>
          <w:rFonts w:ascii="Arial" w:hAnsi="Arial" w:cs="Arial"/>
          <w:color w:val="010000"/>
          <w:sz w:val="20"/>
        </w:rPr>
        <w:t>2023</w:t>
      </w:r>
    </w:p>
    <w:p w14:paraId="572E9039" w14:textId="77777777" w:rsidR="007D3ED7" w:rsidRPr="00587341" w:rsidRDefault="001D608D" w:rsidP="00587341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Revenue in </w:t>
      </w:r>
      <w:r w:rsidRPr="00587341">
        <w:rPr>
          <w:rFonts w:ascii="Arial" w:hAnsi="Arial" w:cs="Arial"/>
          <w:color w:val="010000"/>
          <w:sz w:val="20"/>
        </w:rPr>
        <w:t>2023</w:t>
      </w:r>
      <w:r w:rsidRPr="00587341">
        <w:rPr>
          <w:rFonts w:ascii="Arial" w:hAnsi="Arial" w:cs="Arial"/>
          <w:color w:val="010000"/>
          <w:sz w:val="20"/>
        </w:rPr>
        <w:t xml:space="preserve"> is VND </w:t>
      </w:r>
      <w:r w:rsidRPr="00587341">
        <w:rPr>
          <w:rFonts w:ascii="Arial" w:hAnsi="Arial" w:cs="Arial"/>
          <w:color w:val="010000"/>
          <w:sz w:val="20"/>
        </w:rPr>
        <w:t>1,691,672,907</w:t>
      </w:r>
    </w:p>
    <w:p w14:paraId="305FB1A0" w14:textId="77777777" w:rsidR="007D3ED7" w:rsidRPr="00587341" w:rsidRDefault="001D608D" w:rsidP="00587341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This is the revenue arising from </w:t>
      </w:r>
      <w:r w:rsidRPr="00587341">
        <w:rPr>
          <w:rFonts w:ascii="Arial" w:hAnsi="Arial" w:cs="Arial"/>
          <w:color w:val="010000"/>
          <w:sz w:val="20"/>
        </w:rPr>
        <w:t>03</w:t>
      </w:r>
      <w:r w:rsidRPr="00587341">
        <w:rPr>
          <w:rFonts w:ascii="Arial" w:hAnsi="Arial" w:cs="Arial"/>
          <w:color w:val="010000"/>
          <w:sz w:val="20"/>
        </w:rPr>
        <w:t xml:space="preserve"> business cooperation contracts with partners</w:t>
      </w:r>
    </w:p>
    <w:p w14:paraId="622E1593" w14:textId="77777777" w:rsidR="007D3ED7" w:rsidRPr="00587341" w:rsidRDefault="001D608D" w:rsidP="00587341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Business results in </w:t>
      </w:r>
      <w:r w:rsidRPr="00587341">
        <w:rPr>
          <w:rFonts w:ascii="Arial" w:hAnsi="Arial" w:cs="Arial"/>
          <w:color w:val="010000"/>
          <w:sz w:val="20"/>
        </w:rPr>
        <w:t>2023</w:t>
      </w:r>
      <w:r w:rsidRPr="00587341">
        <w:rPr>
          <w:rFonts w:ascii="Arial" w:hAnsi="Arial" w:cs="Arial"/>
          <w:color w:val="010000"/>
          <w:sz w:val="20"/>
        </w:rPr>
        <w:t xml:space="preserve"> are as follows</w:t>
      </w:r>
      <w:r w:rsidRPr="00587341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pPr w:leftFromText="180" w:rightFromText="180" w:vertAnchor="text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56"/>
        <w:gridCol w:w="4486"/>
        <w:gridCol w:w="2074"/>
      </w:tblGrid>
      <w:tr w:rsidR="007D3ED7" w:rsidRPr="00587341" w14:paraId="2A20B944" w14:textId="77777777" w:rsidTr="00587341">
        <w:tc>
          <w:tcPr>
            <w:tcW w:w="1362" w:type="pct"/>
            <w:shd w:val="clear" w:color="auto" w:fill="auto"/>
            <w:vAlign w:val="center"/>
          </w:tcPr>
          <w:p w14:paraId="1CFE8910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2488" w:type="pct"/>
            <w:shd w:val="clear" w:color="auto" w:fill="auto"/>
            <w:vAlign w:val="center"/>
          </w:tcPr>
          <w:p w14:paraId="6BDCEA6D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Work, product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151A399B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7D3ED7" w:rsidRPr="00587341" w14:paraId="00947680" w14:textId="77777777" w:rsidTr="00587341">
        <w:tc>
          <w:tcPr>
            <w:tcW w:w="1362" w:type="pct"/>
            <w:shd w:val="clear" w:color="auto" w:fill="auto"/>
            <w:vAlign w:val="center"/>
          </w:tcPr>
          <w:p w14:paraId="447023E5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Revenue from service provision</w:t>
            </w:r>
          </w:p>
        </w:tc>
        <w:tc>
          <w:tcPr>
            <w:tcW w:w="2488" w:type="pct"/>
            <w:shd w:val="clear" w:color="auto" w:fill="auto"/>
            <w:vAlign w:val="center"/>
          </w:tcPr>
          <w:p w14:paraId="1D1DD8E4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Leasing out production lines, ports, offices, warehouses,...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1D166E5C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1,061,562,907</w:t>
            </w:r>
          </w:p>
        </w:tc>
      </w:tr>
      <w:tr w:rsidR="007D3ED7" w:rsidRPr="00587341" w14:paraId="7360D465" w14:textId="77777777" w:rsidTr="00587341">
        <w:tc>
          <w:tcPr>
            <w:tcW w:w="1362" w:type="pct"/>
            <w:shd w:val="clear" w:color="auto" w:fill="auto"/>
            <w:vAlign w:val="center"/>
          </w:tcPr>
          <w:p w14:paraId="5A92AD05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Revenue from cement processing</w:t>
            </w:r>
          </w:p>
        </w:tc>
        <w:tc>
          <w:tcPr>
            <w:tcW w:w="2488" w:type="pct"/>
            <w:shd w:val="clear" w:color="auto" w:fill="auto"/>
            <w:vAlign w:val="center"/>
          </w:tcPr>
          <w:p w14:paraId="48046C36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Gray cement processing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6CB83F49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630,110,000</w:t>
            </w:r>
          </w:p>
        </w:tc>
      </w:tr>
      <w:tr w:rsidR="007D3ED7" w:rsidRPr="00587341" w14:paraId="1D1E93F2" w14:textId="77777777" w:rsidTr="00587341">
        <w:tc>
          <w:tcPr>
            <w:tcW w:w="1362" w:type="pct"/>
            <w:shd w:val="clear" w:color="auto" w:fill="auto"/>
            <w:vAlign w:val="center"/>
          </w:tcPr>
          <w:p w14:paraId="64C110B7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2488" w:type="pct"/>
            <w:shd w:val="clear" w:color="auto" w:fill="auto"/>
            <w:vAlign w:val="center"/>
          </w:tcPr>
          <w:p w14:paraId="5DAB1738" w14:textId="77777777" w:rsidR="007D3ED7" w:rsidRPr="00587341" w:rsidRDefault="007D3ED7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07A697EA" w14:textId="77777777" w:rsidR="007D3ED7" w:rsidRPr="00587341" w:rsidRDefault="001D608D" w:rsidP="005873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7341">
              <w:rPr>
                <w:rFonts w:ascii="Arial" w:hAnsi="Arial" w:cs="Arial"/>
                <w:color w:val="010000"/>
                <w:sz w:val="20"/>
              </w:rPr>
              <w:t>1,691,672,907</w:t>
            </w:r>
          </w:p>
        </w:tc>
      </w:tr>
    </w:tbl>
    <w:p w14:paraId="61C69E12" w14:textId="77777777" w:rsidR="007D3ED7" w:rsidRPr="00587341" w:rsidRDefault="001D608D" w:rsidP="00587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Audited Financial Statements </w:t>
      </w:r>
      <w:r w:rsidRPr="00587341">
        <w:rPr>
          <w:rFonts w:ascii="Arial" w:hAnsi="Arial" w:cs="Arial"/>
          <w:color w:val="010000"/>
          <w:sz w:val="20"/>
        </w:rPr>
        <w:t>2023</w:t>
      </w:r>
      <w:r w:rsidRPr="00587341">
        <w:rPr>
          <w:rFonts w:ascii="Arial" w:hAnsi="Arial" w:cs="Arial"/>
          <w:color w:val="010000"/>
          <w:sz w:val="20"/>
        </w:rPr>
        <w:t xml:space="preserve"> </w:t>
      </w:r>
    </w:p>
    <w:p w14:paraId="1BAAF9CC" w14:textId="77777777" w:rsidR="007D3ED7" w:rsidRPr="00587341" w:rsidRDefault="001D608D" w:rsidP="00587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Report of the Supervisory Board in </w:t>
      </w:r>
      <w:r w:rsidRPr="00587341">
        <w:rPr>
          <w:rFonts w:ascii="Arial" w:hAnsi="Arial" w:cs="Arial"/>
          <w:color w:val="010000"/>
          <w:sz w:val="20"/>
        </w:rPr>
        <w:t>2023</w:t>
      </w:r>
      <w:r w:rsidRPr="00587341">
        <w:rPr>
          <w:rFonts w:ascii="Arial" w:hAnsi="Arial" w:cs="Arial"/>
          <w:color w:val="010000"/>
          <w:sz w:val="20"/>
        </w:rPr>
        <w:t xml:space="preserve"> </w:t>
      </w:r>
    </w:p>
    <w:p w14:paraId="093DD81C" w14:textId="77777777" w:rsidR="007D3ED7" w:rsidRPr="00587341" w:rsidRDefault="001D608D" w:rsidP="00587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Proposal on selecting an audit company for the fiscal year </w:t>
      </w:r>
      <w:r w:rsidRPr="00587341">
        <w:rPr>
          <w:rFonts w:ascii="Arial" w:hAnsi="Arial" w:cs="Arial"/>
          <w:color w:val="010000"/>
          <w:sz w:val="20"/>
        </w:rPr>
        <w:t>2024</w:t>
      </w:r>
      <w:r w:rsidRPr="00587341">
        <w:rPr>
          <w:rFonts w:ascii="Arial" w:hAnsi="Arial" w:cs="Arial"/>
          <w:color w:val="010000"/>
          <w:sz w:val="20"/>
        </w:rPr>
        <w:t>.</w:t>
      </w:r>
    </w:p>
    <w:p w14:paraId="24986B36" w14:textId="77777777" w:rsidR="007D3ED7" w:rsidRPr="00587341" w:rsidRDefault="001D608D" w:rsidP="00587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Report on remuneration for the Board of Directors and the Supervisory Board in </w:t>
      </w:r>
      <w:r w:rsidRPr="00587341">
        <w:rPr>
          <w:rFonts w:ascii="Arial" w:hAnsi="Arial" w:cs="Arial"/>
          <w:color w:val="010000"/>
          <w:sz w:val="20"/>
        </w:rPr>
        <w:t>2023</w:t>
      </w:r>
      <w:r w:rsidRPr="00587341">
        <w:rPr>
          <w:rFonts w:ascii="Arial" w:hAnsi="Arial" w:cs="Arial"/>
          <w:color w:val="010000"/>
          <w:sz w:val="20"/>
        </w:rPr>
        <w:t xml:space="preserve"> and remuneration plan for members of the Board of Directors and th</w:t>
      </w:r>
      <w:r w:rsidRPr="00587341">
        <w:rPr>
          <w:rFonts w:ascii="Arial" w:hAnsi="Arial" w:cs="Arial"/>
          <w:color w:val="010000"/>
          <w:sz w:val="20"/>
        </w:rPr>
        <w:t xml:space="preserve">e Supervisory Board in </w:t>
      </w:r>
      <w:r w:rsidRPr="00587341">
        <w:rPr>
          <w:rFonts w:ascii="Arial" w:hAnsi="Arial" w:cs="Arial"/>
          <w:color w:val="010000"/>
          <w:sz w:val="20"/>
        </w:rPr>
        <w:t>2024</w:t>
      </w:r>
      <w:r w:rsidRPr="00587341">
        <w:rPr>
          <w:rFonts w:ascii="Arial" w:hAnsi="Arial" w:cs="Arial"/>
          <w:color w:val="010000"/>
          <w:sz w:val="20"/>
        </w:rPr>
        <w:t xml:space="preserve">. </w:t>
      </w:r>
    </w:p>
    <w:p w14:paraId="0655C393" w14:textId="77777777" w:rsidR="007D3ED7" w:rsidRPr="00587341" w:rsidRDefault="001D608D" w:rsidP="005873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Article </w:t>
      </w:r>
      <w:r w:rsidRPr="00587341">
        <w:rPr>
          <w:rFonts w:ascii="Arial" w:hAnsi="Arial" w:cs="Arial"/>
          <w:color w:val="010000"/>
          <w:sz w:val="20"/>
        </w:rPr>
        <w:t>2:</w:t>
      </w:r>
      <w:r w:rsidRPr="00587341">
        <w:rPr>
          <w:rFonts w:ascii="Arial" w:hAnsi="Arial" w:cs="Arial"/>
          <w:color w:val="010000"/>
          <w:sz w:val="20"/>
        </w:rPr>
        <w:t xml:space="preserve"> The General Meeting of Shareholders assigned the Board of Directors to organize and implement the above contents in accordance with the provisions of Law and the Company's Charter.</w:t>
      </w:r>
    </w:p>
    <w:p w14:paraId="233C806C" w14:textId="77777777" w:rsidR="007D3ED7" w:rsidRPr="00587341" w:rsidRDefault="001D608D" w:rsidP="005873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7341">
        <w:rPr>
          <w:rFonts w:ascii="Arial" w:hAnsi="Arial" w:cs="Arial"/>
          <w:color w:val="010000"/>
          <w:sz w:val="20"/>
        </w:rPr>
        <w:t xml:space="preserve">Article </w:t>
      </w:r>
      <w:r w:rsidRPr="00587341">
        <w:rPr>
          <w:rFonts w:ascii="Arial" w:hAnsi="Arial" w:cs="Arial"/>
          <w:color w:val="010000"/>
          <w:sz w:val="20"/>
        </w:rPr>
        <w:t>3:</w:t>
      </w:r>
      <w:r w:rsidRPr="00587341">
        <w:rPr>
          <w:rFonts w:ascii="Arial" w:hAnsi="Arial" w:cs="Arial"/>
          <w:color w:val="010000"/>
          <w:sz w:val="20"/>
        </w:rPr>
        <w:t xml:space="preserve"> The General Mandate tak</w:t>
      </w:r>
      <w:r w:rsidRPr="00587341">
        <w:rPr>
          <w:rFonts w:ascii="Arial" w:hAnsi="Arial" w:cs="Arial"/>
          <w:color w:val="010000"/>
          <w:sz w:val="20"/>
        </w:rPr>
        <w:t xml:space="preserve">es effect from </w:t>
      </w:r>
      <w:r w:rsidRPr="00587341">
        <w:rPr>
          <w:rFonts w:ascii="Arial" w:hAnsi="Arial" w:cs="Arial"/>
          <w:color w:val="010000"/>
          <w:sz w:val="20"/>
        </w:rPr>
        <w:t>April</w:t>
      </w:r>
      <w:r w:rsidRPr="00587341">
        <w:rPr>
          <w:rFonts w:ascii="Arial" w:hAnsi="Arial" w:cs="Arial"/>
          <w:color w:val="010000"/>
          <w:sz w:val="20"/>
        </w:rPr>
        <w:t xml:space="preserve"> </w:t>
      </w:r>
      <w:r w:rsidRPr="00587341">
        <w:rPr>
          <w:rFonts w:ascii="Arial" w:hAnsi="Arial" w:cs="Arial"/>
          <w:color w:val="010000"/>
          <w:sz w:val="20"/>
        </w:rPr>
        <w:t>22</w:t>
      </w:r>
      <w:r w:rsidRPr="00587341">
        <w:rPr>
          <w:rFonts w:ascii="Arial" w:hAnsi="Arial" w:cs="Arial"/>
          <w:color w:val="010000"/>
          <w:sz w:val="20"/>
        </w:rPr>
        <w:t xml:space="preserve">, </w:t>
      </w:r>
      <w:r w:rsidRPr="00587341">
        <w:rPr>
          <w:rFonts w:ascii="Arial" w:hAnsi="Arial" w:cs="Arial"/>
          <w:color w:val="010000"/>
          <w:sz w:val="20"/>
        </w:rPr>
        <w:t>2024</w:t>
      </w:r>
      <w:r w:rsidRPr="00587341">
        <w:rPr>
          <w:rFonts w:ascii="Arial" w:hAnsi="Arial" w:cs="Arial"/>
          <w:color w:val="010000"/>
          <w:sz w:val="20"/>
        </w:rPr>
        <w:t>. The Board of Directors, the Supervisory Board, the Executive Board and Departments of the Company are responsible for implementing this General Mandate.</w:t>
      </w:r>
    </w:p>
    <w:sectPr w:rsidR="007D3ED7" w:rsidRPr="00587341" w:rsidSect="00587341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A56C" w14:textId="77777777" w:rsidR="001D608D" w:rsidRDefault="001D608D">
      <w:r>
        <w:separator/>
      </w:r>
    </w:p>
  </w:endnote>
  <w:endnote w:type="continuationSeparator" w:id="0">
    <w:p w14:paraId="10A60771" w14:textId="77777777" w:rsidR="001D608D" w:rsidRDefault="001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49ED" w14:textId="77777777" w:rsidR="001D608D" w:rsidRDefault="001D608D">
      <w:r>
        <w:separator/>
      </w:r>
    </w:p>
  </w:footnote>
  <w:footnote w:type="continuationSeparator" w:id="0">
    <w:p w14:paraId="362FE5F7" w14:textId="77777777" w:rsidR="001D608D" w:rsidRDefault="001D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8810" w14:textId="77777777" w:rsidR="007D3ED7" w:rsidRDefault="007D3E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5412"/>
    <w:multiLevelType w:val="multilevel"/>
    <w:tmpl w:val="7F34585E"/>
    <w:lvl w:ilvl="0">
      <w:start w:val="1"/>
      <w:numFmt w:val="decimal"/>
      <w:lvlText w:val="%1,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D7"/>
    <w:rsid w:val="00110546"/>
    <w:rsid w:val="001D608D"/>
    <w:rsid w:val="00587341"/>
    <w:rsid w:val="007D3ED7"/>
    <w:rsid w:val="00F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40ED6"/>
  <w15:docId w15:val="{3B25AF10-8904-44C4-8743-AA3000E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57281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3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Arial" w:eastAsia="Arial" w:hAnsi="Arial" w:cs="Arial"/>
      <w:color w:val="957281"/>
      <w:sz w:val="18"/>
      <w:szCs w:val="18"/>
    </w:rPr>
  </w:style>
  <w:style w:type="paragraph" w:customStyle="1" w:styleId="Other0">
    <w:name w:val="Other"/>
    <w:basedOn w:val="Normal"/>
    <w:link w:val="Other"/>
    <w:pPr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wSBA3cJ0rcLeX7ltP30ZUs0UVQ==">CgMxLjA4AHIhMXJaX19CUlJWUTd2dmgycGM3WnBuTFNuaklRWEFWRDZa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1305</Characters>
  <Application>Microsoft Office Word</Application>
  <DocSecurity>0</DocSecurity>
  <Lines>65</Lines>
  <Paragraphs>59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2024-04-26T01:46:00Z</dcterms:created>
  <dcterms:modified xsi:type="dcterms:W3CDTF">2024-05-02T02:45:00Z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7f2bdc27bcd72dc0250989ccd62ddfc115cae32ea013d455245c24d907b140c9</vt:lpwstr>
  </property>
</Properties>
</file>