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1A95" w14:textId="1B40BFAE" w:rsidR="003B24CF" w:rsidRPr="00D65C75" w:rsidRDefault="00E54687" w:rsidP="00146E94">
      <w:pPr>
        <w:pBdr>
          <w:top w:val="nil"/>
          <w:left w:val="nil"/>
          <w:bottom w:val="nil"/>
          <w:right w:val="nil"/>
          <w:between w:val="nil"/>
        </w:pBdr>
        <w:spacing w:after="120" w:line="360" w:lineRule="auto"/>
        <w:rPr>
          <w:rFonts w:ascii="Arial" w:eastAsia="Arial" w:hAnsi="Arial" w:cs="Arial"/>
          <w:b/>
          <w:color w:val="010000"/>
          <w:sz w:val="20"/>
          <w:szCs w:val="20"/>
        </w:rPr>
      </w:pPr>
      <w:r w:rsidRPr="00D65C75">
        <w:rPr>
          <w:rFonts w:ascii="Arial" w:hAnsi="Arial" w:cs="Arial"/>
          <w:b/>
          <w:color w:val="010000"/>
          <w:sz w:val="20"/>
        </w:rPr>
        <w:t xml:space="preserve">DTI: </w:t>
      </w:r>
      <w:r w:rsidR="00F67C91">
        <w:rPr>
          <w:rFonts w:ascii="Arial" w:hAnsi="Arial" w:cs="Arial"/>
          <w:b/>
          <w:color w:val="010000"/>
          <w:sz w:val="20"/>
        </w:rPr>
        <w:t>Explanation on the Financial Statements 2023</w:t>
      </w:r>
    </w:p>
    <w:p w14:paraId="7C85BC23" w14:textId="77777777" w:rsidR="003B24CF" w:rsidRPr="00D65C75" w:rsidRDefault="00E54687" w:rsidP="00146E94">
      <w:pPr>
        <w:spacing w:after="120" w:line="360" w:lineRule="auto"/>
        <w:rPr>
          <w:rFonts w:ascii="Arial" w:eastAsia="Open Sans" w:hAnsi="Arial" w:cs="Arial"/>
          <w:color w:val="010000"/>
          <w:sz w:val="20"/>
        </w:rPr>
      </w:pPr>
      <w:r w:rsidRPr="00D65C75">
        <w:rPr>
          <w:rFonts w:ascii="Arial" w:hAnsi="Arial" w:cs="Arial"/>
          <w:color w:val="010000"/>
          <w:sz w:val="20"/>
        </w:rPr>
        <w:t>On May 15, 2024, Duc Trung investment joint stock company announced Official Dispatch No. 18/2024/CV-DTI on the explanation on the difference in the profit after tax in 2023 compared to that of 2022 as follows:</w:t>
      </w:r>
    </w:p>
    <w:p w14:paraId="6B4CC5A1" w14:textId="1CF4C1E9" w:rsidR="003B24CF" w:rsidRPr="00D65C75" w:rsidRDefault="00E54687" w:rsidP="00146E94">
      <w:pPr>
        <w:numPr>
          <w:ilvl w:val="0"/>
          <w:numId w:val="1"/>
        </w:numPr>
        <w:pBdr>
          <w:top w:val="nil"/>
          <w:left w:val="nil"/>
          <w:bottom w:val="nil"/>
          <w:right w:val="nil"/>
          <w:between w:val="nil"/>
        </w:pBdr>
        <w:tabs>
          <w:tab w:val="left" w:pos="432"/>
          <w:tab w:val="left" w:pos="2098"/>
        </w:tabs>
        <w:spacing w:after="120" w:line="360" w:lineRule="auto"/>
        <w:rPr>
          <w:rFonts w:ascii="Arial" w:eastAsia="Arial" w:hAnsi="Arial" w:cs="Arial"/>
          <w:color w:val="010000"/>
          <w:sz w:val="20"/>
          <w:szCs w:val="20"/>
        </w:rPr>
      </w:pPr>
      <w:r w:rsidRPr="00D65C75">
        <w:rPr>
          <w:rFonts w:ascii="Arial" w:hAnsi="Arial" w:cs="Arial"/>
          <w:color w:val="010000"/>
          <w:sz w:val="20"/>
        </w:rPr>
        <w:t>Profit difference as shown in the audited Financial Statements 2023 and 2022:</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1"/>
        <w:gridCol w:w="2965"/>
        <w:gridCol w:w="1715"/>
        <w:gridCol w:w="1738"/>
        <w:gridCol w:w="1728"/>
      </w:tblGrid>
      <w:tr w:rsidR="003B24CF" w:rsidRPr="00D65C75" w14:paraId="716EA2A0" w14:textId="77777777" w:rsidTr="00146E94">
        <w:tc>
          <w:tcPr>
            <w:tcW w:w="483" w:type="pct"/>
            <w:shd w:val="clear" w:color="auto" w:fill="auto"/>
            <w:vAlign w:val="center"/>
          </w:tcPr>
          <w:p w14:paraId="7B46A76C"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No.</w:t>
            </w:r>
          </w:p>
        </w:tc>
        <w:tc>
          <w:tcPr>
            <w:tcW w:w="1644" w:type="pct"/>
            <w:shd w:val="clear" w:color="auto" w:fill="auto"/>
            <w:vAlign w:val="center"/>
          </w:tcPr>
          <w:p w14:paraId="6091D6D7"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Target</w:t>
            </w:r>
          </w:p>
        </w:tc>
        <w:tc>
          <w:tcPr>
            <w:tcW w:w="951" w:type="pct"/>
            <w:shd w:val="clear" w:color="auto" w:fill="auto"/>
            <w:vAlign w:val="center"/>
          </w:tcPr>
          <w:p w14:paraId="55EBD2A4"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2023</w:t>
            </w:r>
          </w:p>
        </w:tc>
        <w:tc>
          <w:tcPr>
            <w:tcW w:w="964" w:type="pct"/>
            <w:shd w:val="clear" w:color="auto" w:fill="auto"/>
            <w:vAlign w:val="center"/>
          </w:tcPr>
          <w:p w14:paraId="52FCC3EE"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2022</w:t>
            </w:r>
          </w:p>
        </w:tc>
        <w:tc>
          <w:tcPr>
            <w:tcW w:w="958" w:type="pct"/>
            <w:shd w:val="clear" w:color="auto" w:fill="auto"/>
            <w:vAlign w:val="center"/>
          </w:tcPr>
          <w:p w14:paraId="45F55FF2"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Differences</w:t>
            </w:r>
          </w:p>
        </w:tc>
      </w:tr>
      <w:tr w:rsidR="003B24CF" w:rsidRPr="00D65C75" w14:paraId="7E2A2652" w14:textId="77777777" w:rsidTr="00146E94">
        <w:tc>
          <w:tcPr>
            <w:tcW w:w="483" w:type="pct"/>
            <w:shd w:val="clear" w:color="auto" w:fill="auto"/>
            <w:vAlign w:val="center"/>
          </w:tcPr>
          <w:p w14:paraId="3C61BA8D"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1</w:t>
            </w:r>
          </w:p>
        </w:tc>
        <w:tc>
          <w:tcPr>
            <w:tcW w:w="1644" w:type="pct"/>
            <w:shd w:val="clear" w:color="auto" w:fill="auto"/>
            <w:vAlign w:val="center"/>
          </w:tcPr>
          <w:p w14:paraId="0C3E98C1" w14:textId="5A332CA3"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 xml:space="preserve">Difference in the </w:t>
            </w:r>
            <w:r w:rsidR="00D65C75" w:rsidRPr="00D65C75">
              <w:rPr>
                <w:rFonts w:ascii="Arial" w:hAnsi="Arial" w:cs="Arial"/>
                <w:color w:val="010000"/>
                <w:sz w:val="20"/>
              </w:rPr>
              <w:t>Audited</w:t>
            </w:r>
            <w:r w:rsidRPr="00D65C75">
              <w:rPr>
                <w:rFonts w:ascii="Arial" w:hAnsi="Arial" w:cs="Arial"/>
                <w:color w:val="010000"/>
                <w:sz w:val="20"/>
              </w:rPr>
              <w:t xml:space="preserve"> Financial Statements</w:t>
            </w:r>
          </w:p>
        </w:tc>
        <w:tc>
          <w:tcPr>
            <w:tcW w:w="951" w:type="pct"/>
            <w:shd w:val="clear" w:color="auto" w:fill="auto"/>
            <w:vAlign w:val="center"/>
          </w:tcPr>
          <w:p w14:paraId="5876DC4F"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58,155,503</w:t>
            </w:r>
          </w:p>
        </w:tc>
        <w:tc>
          <w:tcPr>
            <w:tcW w:w="964" w:type="pct"/>
            <w:shd w:val="clear" w:color="auto" w:fill="auto"/>
            <w:vAlign w:val="center"/>
          </w:tcPr>
          <w:p w14:paraId="62EEA561"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6,926,300,312</w:t>
            </w:r>
          </w:p>
        </w:tc>
        <w:tc>
          <w:tcPr>
            <w:tcW w:w="958" w:type="pct"/>
            <w:shd w:val="clear" w:color="auto" w:fill="auto"/>
            <w:vAlign w:val="center"/>
          </w:tcPr>
          <w:p w14:paraId="784B5C8B"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(6,868,144,809)</w:t>
            </w:r>
          </w:p>
        </w:tc>
      </w:tr>
    </w:tbl>
    <w:p w14:paraId="320D124C"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In 2023, the share market came to a halt. The Company encountered many difficulties in allocating real estate projects, which used brought high profits to the Company in 2022. Specifically, the Board of Leaders promulgated many policies to foster the sales of apartments, resulting in a great incurred expense; therefore, the gross profit shrunk considerably when compared to previous terms, leading to the profit after tax difference in 2023 year-on-year.</w:t>
      </w:r>
    </w:p>
    <w:p w14:paraId="3A83C6DA" w14:textId="038FB768" w:rsidR="003B24CF" w:rsidRPr="00D65C75" w:rsidRDefault="00E54687" w:rsidP="00146E94">
      <w:pPr>
        <w:numPr>
          <w:ilvl w:val="0"/>
          <w:numId w:val="1"/>
        </w:numPr>
        <w:pBdr>
          <w:top w:val="nil"/>
          <w:left w:val="nil"/>
          <w:bottom w:val="nil"/>
          <w:right w:val="nil"/>
          <w:between w:val="nil"/>
        </w:pBdr>
        <w:tabs>
          <w:tab w:val="left" w:pos="432"/>
          <w:tab w:val="left" w:pos="2134"/>
        </w:tabs>
        <w:spacing w:after="120" w:line="360" w:lineRule="auto"/>
        <w:rPr>
          <w:rFonts w:ascii="Arial" w:eastAsia="Arial" w:hAnsi="Arial" w:cs="Arial"/>
          <w:color w:val="010000"/>
          <w:sz w:val="20"/>
          <w:szCs w:val="20"/>
        </w:rPr>
      </w:pPr>
      <w:r w:rsidRPr="00D65C75">
        <w:rPr>
          <w:rFonts w:ascii="Arial" w:hAnsi="Arial" w:cs="Arial"/>
          <w:color w:val="010000"/>
          <w:sz w:val="20"/>
        </w:rPr>
        <w:t>The profit after tax difference in 2023 as shown in the Company’s self-</w:t>
      </w:r>
      <w:r w:rsidR="00D65C75" w:rsidRPr="00D65C75">
        <w:rPr>
          <w:rFonts w:ascii="Arial" w:hAnsi="Arial" w:cs="Arial"/>
          <w:color w:val="010000"/>
          <w:sz w:val="20"/>
        </w:rPr>
        <w:t>made</w:t>
      </w:r>
      <w:r w:rsidRPr="00D65C75">
        <w:rPr>
          <w:rFonts w:ascii="Arial" w:hAnsi="Arial" w:cs="Arial"/>
          <w:color w:val="010000"/>
          <w:sz w:val="20"/>
        </w:rPr>
        <w:t xml:space="preserve"> </w:t>
      </w:r>
      <w:r w:rsidR="00D65C75" w:rsidRPr="00D65C75">
        <w:rPr>
          <w:rFonts w:ascii="Arial" w:hAnsi="Arial" w:cs="Arial"/>
          <w:color w:val="010000"/>
          <w:sz w:val="20"/>
        </w:rPr>
        <w:t xml:space="preserve">Financial Statements </w:t>
      </w:r>
      <w:r w:rsidRPr="00D65C75">
        <w:rPr>
          <w:rFonts w:ascii="Arial" w:hAnsi="Arial" w:cs="Arial"/>
          <w:color w:val="010000"/>
          <w:sz w:val="20"/>
        </w:rPr>
        <w:t xml:space="preserve">and the </w:t>
      </w:r>
      <w:r w:rsidR="00D65C75" w:rsidRPr="00D65C75">
        <w:rPr>
          <w:rFonts w:ascii="Arial" w:hAnsi="Arial" w:cs="Arial"/>
          <w:color w:val="010000"/>
          <w:sz w:val="20"/>
        </w:rPr>
        <w:t xml:space="preserve">Audited </w:t>
      </w:r>
      <w:r w:rsidRPr="00D65C75">
        <w:rPr>
          <w:rFonts w:ascii="Arial" w:hAnsi="Arial" w:cs="Arial"/>
          <w:color w:val="010000"/>
          <w:sz w:val="20"/>
        </w:rPr>
        <w:t>Financial Statements: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0"/>
        <w:gridCol w:w="2700"/>
        <w:gridCol w:w="1564"/>
        <w:gridCol w:w="1582"/>
        <w:gridCol w:w="1567"/>
        <w:gridCol w:w="804"/>
      </w:tblGrid>
      <w:tr w:rsidR="003B24CF" w:rsidRPr="00D65C75" w14:paraId="23EF76D3" w14:textId="77777777" w:rsidTr="00146E94">
        <w:tc>
          <w:tcPr>
            <w:tcW w:w="444" w:type="pct"/>
            <w:shd w:val="clear" w:color="auto" w:fill="auto"/>
            <w:vAlign w:val="center"/>
          </w:tcPr>
          <w:p w14:paraId="6C70597B"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No.</w:t>
            </w:r>
          </w:p>
        </w:tc>
        <w:tc>
          <w:tcPr>
            <w:tcW w:w="1497" w:type="pct"/>
            <w:shd w:val="clear" w:color="auto" w:fill="auto"/>
            <w:vAlign w:val="center"/>
          </w:tcPr>
          <w:p w14:paraId="2D25BE0B"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Target</w:t>
            </w:r>
          </w:p>
        </w:tc>
        <w:tc>
          <w:tcPr>
            <w:tcW w:w="867" w:type="pct"/>
            <w:shd w:val="clear" w:color="auto" w:fill="auto"/>
            <w:vAlign w:val="center"/>
          </w:tcPr>
          <w:p w14:paraId="1BF8774D"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Self-made Financial Statements</w:t>
            </w:r>
          </w:p>
        </w:tc>
        <w:tc>
          <w:tcPr>
            <w:tcW w:w="877" w:type="pct"/>
            <w:shd w:val="clear" w:color="auto" w:fill="auto"/>
            <w:vAlign w:val="center"/>
          </w:tcPr>
          <w:p w14:paraId="26058D81" w14:textId="66246EE8" w:rsidR="003B24CF" w:rsidRPr="00D65C75" w:rsidRDefault="00D65C75"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Audited Financial Statements</w:t>
            </w:r>
          </w:p>
        </w:tc>
        <w:tc>
          <w:tcPr>
            <w:tcW w:w="869" w:type="pct"/>
            <w:shd w:val="clear" w:color="auto" w:fill="auto"/>
            <w:vAlign w:val="center"/>
          </w:tcPr>
          <w:p w14:paraId="3E12611C"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Difference</w:t>
            </w:r>
          </w:p>
        </w:tc>
        <w:tc>
          <w:tcPr>
            <w:tcW w:w="446" w:type="pct"/>
            <w:shd w:val="clear" w:color="auto" w:fill="auto"/>
            <w:vAlign w:val="center"/>
          </w:tcPr>
          <w:p w14:paraId="62244171"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Rate</w:t>
            </w:r>
          </w:p>
        </w:tc>
      </w:tr>
      <w:tr w:rsidR="003B24CF" w:rsidRPr="00D65C75" w14:paraId="66DB8DBB" w14:textId="77777777" w:rsidTr="00146E94">
        <w:tc>
          <w:tcPr>
            <w:tcW w:w="444" w:type="pct"/>
            <w:shd w:val="clear" w:color="auto" w:fill="auto"/>
            <w:vAlign w:val="center"/>
          </w:tcPr>
          <w:p w14:paraId="34AE5046"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1</w:t>
            </w:r>
          </w:p>
        </w:tc>
        <w:tc>
          <w:tcPr>
            <w:tcW w:w="1497" w:type="pct"/>
            <w:shd w:val="clear" w:color="auto" w:fill="auto"/>
            <w:vAlign w:val="center"/>
          </w:tcPr>
          <w:p w14:paraId="1E4A5C2F"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Profit after tax in 2023</w:t>
            </w:r>
          </w:p>
        </w:tc>
        <w:tc>
          <w:tcPr>
            <w:tcW w:w="867" w:type="pct"/>
            <w:shd w:val="clear" w:color="auto" w:fill="auto"/>
            <w:vAlign w:val="center"/>
          </w:tcPr>
          <w:p w14:paraId="25BF26E1"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292,692,318</w:t>
            </w:r>
          </w:p>
        </w:tc>
        <w:tc>
          <w:tcPr>
            <w:tcW w:w="877" w:type="pct"/>
            <w:shd w:val="clear" w:color="auto" w:fill="auto"/>
            <w:vAlign w:val="center"/>
          </w:tcPr>
          <w:p w14:paraId="31435B3C"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58,155,503</w:t>
            </w:r>
          </w:p>
        </w:tc>
        <w:tc>
          <w:tcPr>
            <w:tcW w:w="869" w:type="pct"/>
            <w:shd w:val="clear" w:color="auto" w:fill="auto"/>
            <w:vAlign w:val="center"/>
          </w:tcPr>
          <w:p w14:paraId="000FC9F1"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234,536,815</w:t>
            </w:r>
          </w:p>
        </w:tc>
        <w:tc>
          <w:tcPr>
            <w:tcW w:w="446" w:type="pct"/>
            <w:shd w:val="clear" w:color="auto" w:fill="auto"/>
            <w:vAlign w:val="center"/>
          </w:tcPr>
          <w:p w14:paraId="78C2DE6A"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80.1%</w:t>
            </w:r>
          </w:p>
        </w:tc>
      </w:tr>
    </w:tbl>
    <w:p w14:paraId="0FD924EA" w14:textId="77777777" w:rsidR="003B24CF" w:rsidRPr="00D65C75" w:rsidRDefault="00E54687" w:rsidP="00146E94">
      <w:pPr>
        <w:pBdr>
          <w:top w:val="nil"/>
          <w:left w:val="nil"/>
          <w:bottom w:val="nil"/>
          <w:right w:val="nil"/>
          <w:between w:val="nil"/>
        </w:pBdr>
        <w:spacing w:after="120" w:line="360" w:lineRule="auto"/>
        <w:rPr>
          <w:rFonts w:ascii="Arial" w:eastAsia="Arial" w:hAnsi="Arial" w:cs="Arial"/>
          <w:color w:val="010000"/>
          <w:sz w:val="20"/>
          <w:szCs w:val="20"/>
        </w:rPr>
      </w:pPr>
      <w:r w:rsidRPr="00D65C75">
        <w:rPr>
          <w:rFonts w:ascii="Arial" w:hAnsi="Arial" w:cs="Arial"/>
          <w:color w:val="010000"/>
          <w:sz w:val="20"/>
        </w:rPr>
        <w:t xml:space="preserve">Profit after tax, as shown in the audited Financial Statements, decreased due to the appropriation for the provision for the loss of investment in joint ventures. </w:t>
      </w:r>
    </w:p>
    <w:sectPr w:rsidR="003B24CF" w:rsidRPr="00D65C75" w:rsidSect="00146E9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0000000000000000000"/>
    <w:charset w:val="00"/>
    <w:family w:val="auto"/>
    <w:pitch w:val="variable"/>
    <w:sig w:usb0="E00002FF" w:usb1="4000201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C0275"/>
    <w:multiLevelType w:val="multilevel"/>
    <w:tmpl w:val="C3A0889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CF"/>
    <w:rsid w:val="00146E94"/>
    <w:rsid w:val="003B24CF"/>
    <w:rsid w:val="00D65C75"/>
    <w:rsid w:val="00E54687"/>
    <w:rsid w:val="00F67C9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22852"/>
  <w15:docId w15:val="{8AD7BCB5-05D9-4A4F-AD4A-C68844C7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20908"/>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20908"/>
      <w:sz w:val="16"/>
      <w:szCs w:val="16"/>
      <w:u w:val="none"/>
      <w:shd w:val="clear" w:color="auto" w:fill="auto"/>
    </w:rPr>
  </w:style>
  <w:style w:type="paragraph" w:styleId="BodyText">
    <w:name w:val="Body Text"/>
    <w:basedOn w:val="Normal"/>
    <w:link w:val="BodyTextChar"/>
    <w:qFormat/>
    <w:pPr>
      <w:spacing w:line="293"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93"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88"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Times New Roman" w:eastAsia="Times New Roman" w:hAnsi="Times New Roman" w:cs="Times New Roman"/>
      <w:color w:val="F20908"/>
      <w:sz w:val="10"/>
      <w:szCs w:val="10"/>
    </w:rPr>
  </w:style>
  <w:style w:type="paragraph" w:customStyle="1" w:styleId="Bodytext20">
    <w:name w:val="Body text (2)"/>
    <w:basedOn w:val="Normal"/>
    <w:link w:val="Bodytext2"/>
    <w:pPr>
      <w:spacing w:line="235" w:lineRule="auto"/>
    </w:pPr>
    <w:rPr>
      <w:rFonts w:ascii="Times New Roman" w:eastAsia="Times New Roman" w:hAnsi="Times New Roman" w:cs="Times New Roman"/>
      <w:color w:val="F20908"/>
      <w:sz w:val="16"/>
      <w:szCs w:val="16"/>
    </w:rPr>
  </w:style>
  <w:style w:type="character" w:styleId="Hyperlink">
    <w:name w:val="Hyperlink"/>
    <w:basedOn w:val="DefaultParagraphFont"/>
    <w:uiPriority w:val="99"/>
    <w:semiHidden/>
    <w:unhideWhenUsed/>
    <w:rsid w:val="00D9522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5M68y0hNk2RgXxJsq6NsknJMvw==">CgMxLjA4AHIhMUgyNW5LNHBUTE1aUTYyd2ppbUJKQVJkMnRCenR5RE5W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1170</Characters>
  <Application>Microsoft Office Word</Application>
  <DocSecurity>0</DocSecurity>
  <Lines>40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2024-05-17T03:51:00Z</dcterms:created>
  <dcterms:modified xsi:type="dcterms:W3CDTF">2024-05-20T02:26:00Z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20dca8e0db76bc7e1dc1b24619e7f97e0009ea9a1eaa3488e1ec0b778e315466</vt:lpwstr>
  </property>
</Properties>
</file>