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0B33" w:rsidRPr="00EA6D7F" w:rsidRDefault="00C41D50" w:rsidP="00F76B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A6D7F">
        <w:rPr>
          <w:rFonts w:ascii="Arial" w:hAnsi="Arial" w:cs="Arial"/>
          <w:b/>
          <w:color w:val="010000"/>
          <w:sz w:val="20"/>
        </w:rPr>
        <w:t>HND: Board Resolution</w:t>
      </w:r>
    </w:p>
    <w:p w14:paraId="00000002" w14:textId="145555AE" w:rsidR="009F0B33" w:rsidRPr="00EA6D7F" w:rsidRDefault="00C41D50" w:rsidP="00F76B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6D7F">
        <w:rPr>
          <w:rFonts w:ascii="Arial" w:hAnsi="Arial" w:cs="Arial"/>
          <w:color w:val="010000"/>
          <w:sz w:val="20"/>
        </w:rPr>
        <w:t xml:space="preserve">On May 15, 2024, Hai Phong Thermal Power Joint Stock Company announced Resolution No. 3180/NQ-NDHP as follows: </w:t>
      </w:r>
    </w:p>
    <w:p w14:paraId="00000003" w14:textId="4F12FECF" w:rsidR="009F0B33" w:rsidRPr="00EA6D7F" w:rsidRDefault="00C41D50" w:rsidP="00F76B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6D7F">
        <w:rPr>
          <w:rFonts w:ascii="Arial" w:hAnsi="Arial" w:cs="Arial"/>
          <w:color w:val="010000"/>
          <w:sz w:val="20"/>
        </w:rPr>
        <w:t>‎‎Article 1. Approve the additional content submitted to the Annual General Meeting 2024 as proposed by the Company's General Manager in Proposal No. 3159/</w:t>
      </w:r>
      <w:proofErr w:type="spellStart"/>
      <w:r w:rsidRPr="00EA6D7F">
        <w:rPr>
          <w:rFonts w:ascii="Arial" w:hAnsi="Arial" w:cs="Arial"/>
          <w:color w:val="010000"/>
          <w:sz w:val="20"/>
        </w:rPr>
        <w:t>TTr</w:t>
      </w:r>
      <w:proofErr w:type="spellEnd"/>
      <w:r w:rsidRPr="00EA6D7F">
        <w:rPr>
          <w:rFonts w:ascii="Arial" w:hAnsi="Arial" w:cs="Arial"/>
          <w:color w:val="010000"/>
          <w:sz w:val="20"/>
        </w:rPr>
        <w:t>-NDHP dated May 14, 2024.</w:t>
      </w:r>
    </w:p>
    <w:p w14:paraId="00000004" w14:textId="2A9FD258" w:rsidR="009F0B33" w:rsidRPr="00EA6D7F" w:rsidRDefault="00C41D50" w:rsidP="00F76B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6D7F">
        <w:rPr>
          <w:rFonts w:ascii="Arial" w:hAnsi="Arial" w:cs="Arial"/>
          <w:color w:val="010000"/>
          <w:sz w:val="20"/>
        </w:rPr>
        <w:t xml:space="preserve">‎‎Article 2. Members of the Board of Directors and the Company’s </w:t>
      </w:r>
      <w:r w:rsidR="00F76BB4">
        <w:rPr>
          <w:rFonts w:ascii="Arial" w:hAnsi="Arial" w:cs="Arial"/>
          <w:color w:val="010000"/>
          <w:sz w:val="20"/>
        </w:rPr>
        <w:t xml:space="preserve">Managing Director </w:t>
      </w:r>
      <w:r w:rsidRPr="00EA6D7F">
        <w:rPr>
          <w:rFonts w:ascii="Arial" w:hAnsi="Arial" w:cs="Arial"/>
          <w:color w:val="010000"/>
          <w:sz w:val="20"/>
        </w:rPr>
        <w:t>are responsible for implementing this</w:t>
      </w:r>
      <w:r w:rsidR="00F76BB4">
        <w:rPr>
          <w:rFonts w:ascii="Arial" w:hAnsi="Arial" w:cs="Arial"/>
          <w:color w:val="010000"/>
          <w:sz w:val="20"/>
        </w:rPr>
        <w:t xml:space="preserve"> Board</w:t>
      </w:r>
      <w:bookmarkStart w:id="0" w:name="_GoBack"/>
      <w:bookmarkEnd w:id="0"/>
      <w:r w:rsidRPr="00EA6D7F">
        <w:rPr>
          <w:rFonts w:ascii="Arial" w:hAnsi="Arial" w:cs="Arial"/>
          <w:color w:val="010000"/>
          <w:sz w:val="20"/>
        </w:rPr>
        <w:t xml:space="preserve"> Resolution.</w:t>
      </w:r>
    </w:p>
    <w:sectPr w:rsidR="009F0B33" w:rsidRPr="00EA6D7F" w:rsidSect="00DC7A7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33"/>
    <w:rsid w:val="009F0B33"/>
    <w:rsid w:val="00C41D50"/>
    <w:rsid w:val="00DC7A7D"/>
    <w:rsid w:val="00EA6D7F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E21D9"/>
  <w15:docId w15:val="{8AD7BCB5-05D9-4A4F-AD4A-C68844C7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16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G/Zlp88nQXY1UYrRt7I/9e14Aw==">CgMxLjA4AHIhMWszTF90OWZ1bHk0b25JNmtBRk5zcHNENks0UkFtSnh5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2024-05-20T03:42:00Z</dcterms:created>
  <dcterms:modified xsi:type="dcterms:W3CDTF">2024-05-20T03:42:00Z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dbcc35a6ac2b65b41227ad46ddd056c83ad3099e511acf60a6d64c0c8c879098</vt:lpwstr>
  </property>
</Properties>
</file>