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3641EC9" w:rsidR="00A92AF1" w:rsidRPr="00E3644B" w:rsidRDefault="00AD0B0F" w:rsidP="00513DD1">
      <w:pPr>
        <w:pBdr>
          <w:top w:val="nil"/>
          <w:left w:val="nil"/>
          <w:bottom w:val="nil"/>
          <w:right w:val="nil"/>
          <w:between w:val="nil"/>
        </w:pBdr>
        <w:tabs>
          <w:tab w:val="left" w:pos="278"/>
          <w:tab w:val="left" w:pos="432"/>
        </w:tabs>
        <w:spacing w:after="120" w:line="360" w:lineRule="auto"/>
        <w:jc w:val="both"/>
        <w:rPr>
          <w:rFonts w:ascii="Arial" w:eastAsia="Arial" w:hAnsi="Arial" w:cs="Arial"/>
          <w:b/>
          <w:color w:val="010000"/>
          <w:sz w:val="20"/>
          <w:szCs w:val="20"/>
        </w:rPr>
      </w:pPr>
      <w:bookmarkStart w:id="0" w:name="_heading=h.gjdgxs"/>
      <w:bookmarkEnd w:id="0"/>
      <w:r w:rsidRPr="00E3644B">
        <w:rPr>
          <w:rFonts w:ascii="Arial" w:hAnsi="Arial" w:cs="Arial"/>
          <w:b/>
          <w:color w:val="010000"/>
          <w:sz w:val="20"/>
        </w:rPr>
        <w:t xml:space="preserve">NVB: </w:t>
      </w:r>
      <w:r w:rsidR="00305309">
        <w:rPr>
          <w:rFonts w:ascii="Arial" w:hAnsi="Arial" w:cs="Arial"/>
          <w:b/>
          <w:bCs/>
          <w:color w:val="auto"/>
          <w:sz w:val="20"/>
          <w:szCs w:val="20"/>
          <w:lang w:val="vi-VN"/>
        </w:rPr>
        <w:t>Board Resolution</w:t>
      </w:r>
    </w:p>
    <w:p w14:paraId="00000002" w14:textId="6C0AA6B5" w:rsidR="00A92AF1" w:rsidRPr="00E3644B" w:rsidRDefault="00AD0B0F" w:rsidP="00513DD1">
      <w:p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E3644B">
        <w:rPr>
          <w:rFonts w:ascii="Arial" w:hAnsi="Arial" w:cs="Arial"/>
          <w:color w:val="010000"/>
          <w:sz w:val="20"/>
        </w:rPr>
        <w:t>On May 15, 2024, National Citizen Commercial Joint Stock Bank</w:t>
      </w:r>
      <w:r w:rsidR="00234B8F" w:rsidRPr="00E3644B">
        <w:rPr>
          <w:rFonts w:ascii="Arial" w:hAnsi="Arial" w:cs="Arial"/>
          <w:color w:val="010000"/>
          <w:sz w:val="20"/>
        </w:rPr>
        <w:t xml:space="preserve"> (NCB)</w:t>
      </w:r>
      <w:r w:rsidRPr="00E3644B">
        <w:rPr>
          <w:rFonts w:ascii="Arial" w:hAnsi="Arial" w:cs="Arial"/>
          <w:color w:val="010000"/>
          <w:sz w:val="20"/>
        </w:rPr>
        <w:t xml:space="preserve"> </w:t>
      </w:r>
      <w:r w:rsidR="00814C49" w:rsidRPr="00E3644B">
        <w:rPr>
          <w:rFonts w:ascii="Arial" w:hAnsi="Arial" w:cs="Arial"/>
          <w:color w:val="010000"/>
          <w:sz w:val="20"/>
        </w:rPr>
        <w:t>announced</w:t>
      </w:r>
      <w:r w:rsidRPr="00E3644B">
        <w:rPr>
          <w:rFonts w:ascii="Arial" w:hAnsi="Arial" w:cs="Arial"/>
          <w:color w:val="010000"/>
          <w:sz w:val="20"/>
        </w:rPr>
        <w:t xml:space="preserve"> Resolution No. 1166/2024/NQ-HDQT </w:t>
      </w:r>
      <w:r w:rsidR="000533EA" w:rsidRPr="00E3644B">
        <w:rPr>
          <w:rFonts w:ascii="Arial" w:hAnsi="Arial" w:cs="Arial"/>
          <w:color w:val="010000"/>
          <w:sz w:val="20"/>
        </w:rPr>
        <w:t>on approving the policy of commission</w:t>
      </w:r>
      <w:r w:rsidR="00234B8F" w:rsidRPr="00E3644B">
        <w:rPr>
          <w:rFonts w:ascii="Arial" w:hAnsi="Arial" w:cs="Arial"/>
          <w:color w:val="010000"/>
          <w:sz w:val="20"/>
        </w:rPr>
        <w:t>/</w:t>
      </w:r>
      <w:r w:rsidRPr="00E3644B">
        <w:rPr>
          <w:rFonts w:ascii="Arial" w:hAnsi="Arial" w:cs="Arial"/>
          <w:color w:val="010000"/>
          <w:sz w:val="20"/>
        </w:rPr>
        <w:t xml:space="preserve">authorization fees for </w:t>
      </w:r>
      <w:r w:rsidR="00234B8F" w:rsidRPr="00E3644B">
        <w:rPr>
          <w:rFonts w:ascii="Arial" w:hAnsi="Arial" w:cs="Arial"/>
          <w:color w:val="010000"/>
          <w:sz w:val="20"/>
        </w:rPr>
        <w:t>debts of NCB</w:t>
      </w:r>
      <w:r w:rsidRPr="00E3644B">
        <w:rPr>
          <w:rFonts w:ascii="Arial" w:hAnsi="Arial" w:cs="Arial"/>
          <w:color w:val="010000"/>
          <w:sz w:val="20"/>
        </w:rPr>
        <w:t xml:space="preserve"> transferred to </w:t>
      </w:r>
      <w:r w:rsidR="00234B8F" w:rsidRPr="00E3644B">
        <w:rPr>
          <w:rFonts w:ascii="Arial" w:hAnsi="Arial" w:cs="Arial"/>
          <w:color w:val="010000"/>
          <w:sz w:val="20"/>
        </w:rPr>
        <w:t>National Citizen Bank Asset Management Company Limited</w:t>
      </w:r>
      <w:r w:rsidRPr="00E3644B">
        <w:rPr>
          <w:rFonts w:ascii="Arial" w:hAnsi="Arial" w:cs="Arial"/>
          <w:color w:val="010000"/>
          <w:sz w:val="20"/>
        </w:rPr>
        <w:t xml:space="preserve"> </w:t>
      </w:r>
      <w:r w:rsidR="00234B8F" w:rsidRPr="00E3644B">
        <w:rPr>
          <w:rFonts w:ascii="Arial" w:hAnsi="Arial" w:cs="Arial"/>
          <w:color w:val="010000"/>
          <w:sz w:val="20"/>
        </w:rPr>
        <w:t xml:space="preserve">(AMC) </w:t>
      </w:r>
      <w:r w:rsidRPr="00E3644B">
        <w:rPr>
          <w:rFonts w:ascii="Arial" w:hAnsi="Arial" w:cs="Arial"/>
          <w:color w:val="010000"/>
          <w:sz w:val="20"/>
        </w:rPr>
        <w:t>to handle as follows:</w:t>
      </w:r>
    </w:p>
    <w:p w14:paraId="00000003" w14:textId="4DA78C3B" w:rsidR="00A92AF1" w:rsidRPr="00E3644B" w:rsidRDefault="00AD0B0F" w:rsidP="00513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644B">
        <w:rPr>
          <w:rFonts w:ascii="Arial" w:hAnsi="Arial" w:cs="Arial"/>
          <w:color w:val="010000"/>
          <w:sz w:val="20"/>
        </w:rPr>
        <w:t>‎‎Article 1</w:t>
      </w:r>
      <w:r w:rsidR="00234B8F" w:rsidRPr="00E3644B">
        <w:rPr>
          <w:rFonts w:ascii="Arial" w:hAnsi="Arial" w:cs="Arial"/>
          <w:color w:val="010000"/>
          <w:sz w:val="20"/>
        </w:rPr>
        <w:t>. Approve the policy of commission/</w:t>
      </w:r>
      <w:r w:rsidRPr="00E3644B">
        <w:rPr>
          <w:rFonts w:ascii="Arial" w:hAnsi="Arial" w:cs="Arial"/>
          <w:color w:val="010000"/>
          <w:sz w:val="20"/>
        </w:rPr>
        <w:t xml:space="preserve">authorization fees for </w:t>
      </w:r>
      <w:r w:rsidR="00234B8F" w:rsidRPr="00E3644B">
        <w:rPr>
          <w:rFonts w:ascii="Arial" w:hAnsi="Arial" w:cs="Arial"/>
          <w:color w:val="010000"/>
          <w:sz w:val="20"/>
        </w:rPr>
        <w:t xml:space="preserve">debts of </w:t>
      </w:r>
      <w:r w:rsidRPr="00E3644B">
        <w:rPr>
          <w:rFonts w:ascii="Arial" w:hAnsi="Arial" w:cs="Arial"/>
          <w:color w:val="010000"/>
          <w:sz w:val="20"/>
        </w:rPr>
        <w:t xml:space="preserve">National Citizen Commercial Joint Stock Bank transferred to </w:t>
      </w:r>
      <w:r w:rsidR="00234B8F" w:rsidRPr="00E3644B">
        <w:rPr>
          <w:rFonts w:ascii="Arial" w:hAnsi="Arial" w:cs="Arial"/>
          <w:color w:val="010000"/>
          <w:sz w:val="20"/>
        </w:rPr>
        <w:t>AMC</w:t>
      </w:r>
      <w:r w:rsidRPr="00E3644B">
        <w:rPr>
          <w:rFonts w:ascii="Arial" w:hAnsi="Arial" w:cs="Arial"/>
          <w:color w:val="010000"/>
          <w:sz w:val="20"/>
        </w:rPr>
        <w:t xml:space="preserve"> with the following details:</w:t>
      </w:r>
    </w:p>
    <w:p w14:paraId="00000004" w14:textId="28B6C951" w:rsidR="00A92AF1" w:rsidRPr="00E3644B" w:rsidRDefault="00AD0B0F" w:rsidP="00513DD1">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E3644B">
        <w:rPr>
          <w:rFonts w:ascii="Arial" w:hAnsi="Arial" w:cs="Arial"/>
          <w:color w:val="010000"/>
          <w:sz w:val="20"/>
        </w:rPr>
        <w:t>Authorization/</w:t>
      </w:r>
      <w:r w:rsidR="000533EA" w:rsidRPr="00E3644B">
        <w:rPr>
          <w:rFonts w:ascii="Arial" w:hAnsi="Arial" w:cs="Arial"/>
          <w:color w:val="010000"/>
          <w:sz w:val="20"/>
        </w:rPr>
        <w:t>commission</w:t>
      </w:r>
      <w:r w:rsidRPr="00E3644B">
        <w:rPr>
          <w:rFonts w:ascii="Arial" w:hAnsi="Arial" w:cs="Arial"/>
          <w:color w:val="010000"/>
          <w:sz w:val="20"/>
        </w:rPr>
        <w:t xml:space="preserve"> fee:</w:t>
      </w:r>
      <w:r w:rsidR="009C7497" w:rsidRPr="00E3644B">
        <w:rPr>
          <w:rFonts w:ascii="Arial" w:hAnsi="Arial" w:cs="Arial"/>
          <w:color w:val="010000"/>
          <w:sz w:val="20"/>
        </w:rPr>
        <w:t xml:space="preserve"> </w:t>
      </w:r>
      <w:r w:rsidRPr="00E3644B">
        <w:rPr>
          <w:rFonts w:ascii="Arial" w:hAnsi="Arial" w:cs="Arial"/>
          <w:color w:val="010000"/>
          <w:sz w:val="20"/>
        </w:rPr>
        <w:t>1</w:t>
      </w:r>
      <w:r w:rsidR="00234B8F" w:rsidRPr="00E3644B">
        <w:rPr>
          <w:rFonts w:ascii="Arial" w:hAnsi="Arial" w:cs="Arial"/>
          <w:color w:val="010000"/>
          <w:sz w:val="20"/>
        </w:rPr>
        <w:t>% x</w:t>
      </w:r>
      <w:r w:rsidR="000533EA" w:rsidRPr="00E3644B">
        <w:rPr>
          <w:rFonts w:ascii="Arial" w:hAnsi="Arial" w:cs="Arial"/>
          <w:color w:val="010000"/>
          <w:sz w:val="20"/>
        </w:rPr>
        <w:t xml:space="preserve"> th</w:t>
      </w:r>
      <w:bookmarkStart w:id="1" w:name="_GoBack"/>
      <w:bookmarkEnd w:id="1"/>
      <w:r w:rsidR="000533EA" w:rsidRPr="00E3644B">
        <w:rPr>
          <w:rFonts w:ascii="Arial" w:hAnsi="Arial" w:cs="Arial"/>
          <w:color w:val="010000"/>
          <w:sz w:val="20"/>
        </w:rPr>
        <w:t xml:space="preserve">e </w:t>
      </w:r>
      <w:r w:rsidRPr="00E3644B">
        <w:rPr>
          <w:rFonts w:ascii="Arial" w:hAnsi="Arial" w:cs="Arial"/>
          <w:color w:val="010000"/>
          <w:sz w:val="20"/>
        </w:rPr>
        <w:t>debt recovery amount (including principal debt, interest debt, fee,</w:t>
      </w:r>
      <w:r w:rsidR="000533EA" w:rsidRPr="00E3644B">
        <w:rPr>
          <w:rFonts w:ascii="Arial" w:hAnsi="Arial" w:cs="Arial"/>
          <w:color w:val="010000"/>
          <w:sz w:val="20"/>
        </w:rPr>
        <w:t xml:space="preserve"> etc.</w:t>
      </w:r>
      <w:r w:rsidRPr="00E3644B">
        <w:rPr>
          <w:rFonts w:ascii="Arial" w:hAnsi="Arial" w:cs="Arial"/>
          <w:color w:val="010000"/>
          <w:sz w:val="20"/>
        </w:rPr>
        <w:t xml:space="preserve">) This fee does not include Value-added tax (VAT) and expenses related to the debt </w:t>
      </w:r>
      <w:r w:rsidR="00234B8F" w:rsidRPr="00E3644B">
        <w:rPr>
          <w:rFonts w:ascii="Arial" w:hAnsi="Arial" w:cs="Arial"/>
          <w:color w:val="010000"/>
          <w:sz w:val="20"/>
        </w:rPr>
        <w:t>handling</w:t>
      </w:r>
      <w:r w:rsidRPr="00E3644B">
        <w:rPr>
          <w:rFonts w:ascii="Arial" w:hAnsi="Arial" w:cs="Arial"/>
          <w:color w:val="010000"/>
          <w:sz w:val="20"/>
        </w:rPr>
        <w:t xml:space="preserve"> process.</w:t>
      </w:r>
    </w:p>
    <w:p w14:paraId="00000005" w14:textId="77777777" w:rsidR="00A92AF1" w:rsidRPr="00E3644B" w:rsidRDefault="00AD0B0F" w:rsidP="00513DD1">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E3644B">
        <w:rPr>
          <w:rFonts w:ascii="Arial" w:hAnsi="Arial" w:cs="Arial"/>
          <w:color w:val="010000"/>
          <w:sz w:val="20"/>
        </w:rPr>
        <w:t>Scope of application: Apply to debts recovered from January 1, 2024.</w:t>
      </w:r>
    </w:p>
    <w:p w14:paraId="00000006" w14:textId="33A6F435" w:rsidR="00A92AF1" w:rsidRPr="00E3644B" w:rsidRDefault="00AD0B0F" w:rsidP="00513DD1">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E3644B">
        <w:rPr>
          <w:rFonts w:ascii="Arial" w:hAnsi="Arial" w:cs="Arial"/>
          <w:color w:val="010000"/>
          <w:sz w:val="20"/>
        </w:rPr>
        <w:t xml:space="preserve">Payment time </w:t>
      </w:r>
      <w:r w:rsidR="00E3644B" w:rsidRPr="00E3644B">
        <w:rPr>
          <w:rFonts w:ascii="Arial" w:hAnsi="Arial" w:cs="Arial"/>
          <w:color w:val="010000"/>
          <w:sz w:val="20"/>
        </w:rPr>
        <w:t>for AMC</w:t>
      </w:r>
      <w:r w:rsidR="009C7497" w:rsidRPr="00E3644B">
        <w:rPr>
          <w:rFonts w:ascii="Arial" w:hAnsi="Arial" w:cs="Arial"/>
          <w:color w:val="010000"/>
          <w:sz w:val="20"/>
        </w:rPr>
        <w:t xml:space="preserve">: </w:t>
      </w:r>
      <w:r w:rsidRPr="00E3644B">
        <w:rPr>
          <w:rFonts w:ascii="Arial" w:hAnsi="Arial" w:cs="Arial"/>
          <w:color w:val="010000"/>
          <w:sz w:val="20"/>
        </w:rPr>
        <w:t xml:space="preserve">Assign the General Manager to decide </w:t>
      </w:r>
      <w:r w:rsidR="000533EA" w:rsidRPr="00E3644B">
        <w:rPr>
          <w:rFonts w:ascii="Arial" w:hAnsi="Arial" w:cs="Arial"/>
          <w:color w:val="010000"/>
          <w:sz w:val="20"/>
        </w:rPr>
        <w:t>based on</w:t>
      </w:r>
      <w:r w:rsidRPr="00E3644B">
        <w:rPr>
          <w:rFonts w:ascii="Arial" w:hAnsi="Arial" w:cs="Arial"/>
          <w:color w:val="010000"/>
          <w:sz w:val="20"/>
        </w:rPr>
        <w:t xml:space="preserve"> the actual situation of </w:t>
      </w:r>
      <w:r w:rsidR="00E3644B" w:rsidRPr="00E3644B">
        <w:rPr>
          <w:rFonts w:ascii="Arial" w:hAnsi="Arial" w:cs="Arial"/>
          <w:color w:val="010000"/>
          <w:sz w:val="20"/>
        </w:rPr>
        <w:t>NCB</w:t>
      </w:r>
      <w:r w:rsidRPr="00E3644B">
        <w:rPr>
          <w:rFonts w:ascii="Arial" w:hAnsi="Arial" w:cs="Arial"/>
          <w:color w:val="010000"/>
          <w:sz w:val="20"/>
        </w:rPr>
        <w:t xml:space="preserve"> and </w:t>
      </w:r>
      <w:r w:rsidR="00E3644B" w:rsidRPr="00E3644B">
        <w:rPr>
          <w:rFonts w:ascii="Arial" w:hAnsi="Arial" w:cs="Arial"/>
          <w:color w:val="010000"/>
          <w:sz w:val="20"/>
        </w:rPr>
        <w:t>AMC</w:t>
      </w:r>
      <w:r w:rsidRPr="00E3644B">
        <w:rPr>
          <w:rFonts w:ascii="Arial" w:hAnsi="Arial" w:cs="Arial"/>
          <w:color w:val="010000"/>
          <w:sz w:val="20"/>
        </w:rPr>
        <w:t>.</w:t>
      </w:r>
    </w:p>
    <w:p w14:paraId="00000007" w14:textId="54B7A35E" w:rsidR="00A92AF1" w:rsidRPr="00E3644B" w:rsidRDefault="00AD0B0F" w:rsidP="00513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644B">
        <w:rPr>
          <w:rFonts w:ascii="Arial" w:hAnsi="Arial" w:cs="Arial"/>
          <w:color w:val="010000"/>
          <w:sz w:val="20"/>
        </w:rPr>
        <w:t xml:space="preserve">‎‎Article 2. Organization and Implementation: Assign the General Manager/Authorized person and </w:t>
      </w:r>
      <w:r w:rsidR="00E3644B" w:rsidRPr="00E3644B">
        <w:rPr>
          <w:rFonts w:ascii="Arial" w:hAnsi="Arial" w:cs="Arial"/>
          <w:color w:val="010000"/>
          <w:sz w:val="20"/>
        </w:rPr>
        <w:t>AMC</w:t>
      </w:r>
      <w:r w:rsidRPr="00E3644B">
        <w:rPr>
          <w:rFonts w:ascii="Arial" w:hAnsi="Arial" w:cs="Arial"/>
          <w:color w:val="010000"/>
          <w:sz w:val="20"/>
        </w:rPr>
        <w:t xml:space="preserve"> to organize units, departments and individuals </w:t>
      </w:r>
      <w:r w:rsidR="00E3644B" w:rsidRPr="00E3644B">
        <w:rPr>
          <w:rFonts w:ascii="Arial" w:hAnsi="Arial" w:cs="Arial"/>
          <w:color w:val="010000"/>
          <w:sz w:val="20"/>
        </w:rPr>
        <w:t xml:space="preserve">to be </w:t>
      </w:r>
      <w:r w:rsidRPr="00E3644B">
        <w:rPr>
          <w:rFonts w:ascii="Arial" w:hAnsi="Arial" w:cs="Arial"/>
          <w:color w:val="010000"/>
          <w:sz w:val="20"/>
        </w:rPr>
        <w:t>responsible for implementing related work, fully implementing procedures in accordance with regulations of National Citizen Commercial Joint Stock Bank, State Bank and Law.</w:t>
      </w:r>
    </w:p>
    <w:p w14:paraId="00000008" w14:textId="77777777" w:rsidR="00A92AF1" w:rsidRPr="00E3644B" w:rsidRDefault="00AD0B0F" w:rsidP="00513D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3644B">
        <w:rPr>
          <w:rFonts w:ascii="Arial" w:hAnsi="Arial" w:cs="Arial"/>
          <w:color w:val="010000"/>
          <w:sz w:val="20"/>
        </w:rPr>
        <w:t>‎‎Article 3. This Resolution takes effect from May 15, 2024. Within the scope of their powers and responsibilities, relevant units and individuals are responsible for organizing the implementation of this Resolution.</w:t>
      </w:r>
    </w:p>
    <w:sectPr w:rsidR="00A92AF1" w:rsidRPr="00E3644B" w:rsidSect="009C749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F11"/>
    <w:multiLevelType w:val="multilevel"/>
    <w:tmpl w:val="44A0385E"/>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F1"/>
    <w:rsid w:val="000533EA"/>
    <w:rsid w:val="00234B8F"/>
    <w:rsid w:val="00305309"/>
    <w:rsid w:val="00513DD1"/>
    <w:rsid w:val="00814C49"/>
    <w:rsid w:val="009C7497"/>
    <w:rsid w:val="00A92AF1"/>
    <w:rsid w:val="00AD0B0F"/>
    <w:rsid w:val="00E3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00F20"/>
      <w:w w:val="5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b/>
      <w:bCs/>
      <w:color w:val="D00F20"/>
      <w:w w:val="50"/>
      <w:sz w:val="22"/>
      <w:szCs w:val="2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D00F20"/>
      <w:w w:val="5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b/>
      <w:bCs/>
      <w:color w:val="D00F20"/>
      <w:w w:val="50"/>
      <w:sz w:val="22"/>
      <w:szCs w:val="22"/>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BLyqsHJ1T7mAsnwt1iKbBdCkFg==">CgMxLjAyCGguZ2pkZ3hzOAByITFzc25sWUhCYXJkUEwtWXYwdnR6RGRPdzNLN3ZLeDRWMQ==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12</cp:revision>
  <dcterms:created xsi:type="dcterms:W3CDTF">2024-05-17T03:14:00Z</dcterms:created>
  <dcterms:modified xsi:type="dcterms:W3CDTF">2024-05-20T04:46:00Z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0bd8f85d37b0ef3baa58d1b27f9c231f41e32fd9263b783e0ffdbecb2aee9f17</vt:lpwstr>
  </property>
</Properties>
</file>