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4A2E" w14:textId="493231F9" w:rsidR="00707D85" w:rsidRPr="00A21FA9" w:rsidRDefault="00556CCD" w:rsidP="00A9750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21FA9">
        <w:rPr>
          <w:rFonts w:ascii="Arial" w:hAnsi="Arial" w:cs="Arial"/>
          <w:b/>
          <w:color w:val="010000"/>
          <w:sz w:val="20"/>
        </w:rPr>
        <w:t xml:space="preserve">VIT: </w:t>
      </w:r>
      <w:r w:rsidR="00344DF0">
        <w:rPr>
          <w:rFonts w:ascii="Arial" w:hAnsi="Arial" w:cs="Arial"/>
          <w:b/>
          <w:bCs/>
          <w:color w:val="auto"/>
          <w:sz w:val="20"/>
          <w:szCs w:val="20"/>
          <w:lang w:val="vi-VN"/>
        </w:rPr>
        <w:t>Board Resolution</w:t>
      </w:r>
    </w:p>
    <w:p w14:paraId="0B798F52" w14:textId="3FFA24D5" w:rsidR="00707D85" w:rsidRPr="00A21FA9" w:rsidRDefault="00556CCD" w:rsidP="00A975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 xml:space="preserve">On May 15, 2024, </w:t>
      </w:r>
      <w:proofErr w:type="spellStart"/>
      <w:r w:rsidRPr="00A21FA9">
        <w:rPr>
          <w:rFonts w:ascii="Arial" w:hAnsi="Arial" w:cs="Arial"/>
          <w:color w:val="010000"/>
          <w:sz w:val="20"/>
        </w:rPr>
        <w:t>Viglacera</w:t>
      </w:r>
      <w:proofErr w:type="spellEnd"/>
      <w:r w:rsidRPr="00A21FA9">
        <w:rPr>
          <w:rFonts w:ascii="Arial" w:hAnsi="Arial" w:cs="Arial"/>
          <w:color w:val="010000"/>
          <w:sz w:val="20"/>
        </w:rPr>
        <w:t xml:space="preserve"> Tien Son JSC announced Resolution No. 14/VIT-HDQT on approving the production and busi</w:t>
      </w:r>
      <w:r w:rsidR="00A97504">
        <w:rPr>
          <w:rFonts w:ascii="Arial" w:hAnsi="Arial" w:cs="Arial"/>
          <w:color w:val="010000"/>
          <w:sz w:val="20"/>
        </w:rPr>
        <w:t xml:space="preserve">ness results in Q1/2024 and </w:t>
      </w:r>
      <w:r w:rsidRPr="00A21FA9">
        <w:rPr>
          <w:rFonts w:ascii="Arial" w:hAnsi="Arial" w:cs="Arial"/>
          <w:color w:val="010000"/>
          <w:sz w:val="20"/>
        </w:rPr>
        <w:t>production and business plan for Q2/2024 as follows:</w:t>
      </w:r>
    </w:p>
    <w:p w14:paraId="517BF0A4" w14:textId="77777777" w:rsidR="00707D85" w:rsidRPr="00A21FA9" w:rsidRDefault="00556CCD" w:rsidP="00A97504">
      <w:pPr>
        <w:numPr>
          <w:ilvl w:val="0"/>
          <w:numId w:val="2"/>
        </w:numPr>
        <w:pBdr>
          <w:top w:val="nil"/>
          <w:left w:val="nil"/>
          <w:bottom w:val="nil"/>
          <w:right w:val="nil"/>
          <w:between w:val="nil"/>
        </w:pBdr>
        <w:tabs>
          <w:tab w:val="left" w:pos="354"/>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Approve the production and business targets in Q1/2024 as follows:</w:t>
      </w:r>
    </w:p>
    <w:tbl>
      <w:tblPr>
        <w:tblStyle w:val="a"/>
        <w:tblW w:w="5000" w:type="pct"/>
        <w:tblLook w:val="0400" w:firstRow="0" w:lastRow="0" w:firstColumn="0" w:lastColumn="0" w:noHBand="0" w:noVBand="1"/>
      </w:tblPr>
      <w:tblGrid>
        <w:gridCol w:w="3363"/>
        <w:gridCol w:w="1721"/>
        <w:gridCol w:w="1309"/>
        <w:gridCol w:w="1315"/>
        <w:gridCol w:w="1309"/>
      </w:tblGrid>
      <w:tr w:rsidR="00707D85" w:rsidRPr="00A21FA9" w14:paraId="3EE07FA9" w14:textId="77777777" w:rsidTr="00A84076">
        <w:tc>
          <w:tcPr>
            <w:tcW w:w="1937"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1ACB91BB"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Targets</w:t>
            </w:r>
          </w:p>
        </w:tc>
        <w:tc>
          <w:tcPr>
            <w:tcW w:w="666"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EA277B9"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Unit</w:t>
            </w:r>
          </w:p>
        </w:tc>
        <w:tc>
          <w:tcPr>
            <w:tcW w:w="798"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09D79DF2"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Plan Q1/2024</w:t>
            </w:r>
          </w:p>
        </w:tc>
        <w:tc>
          <w:tcPr>
            <w:tcW w:w="801"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2FD3070F"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Results Q1/2024</w:t>
            </w:r>
          </w:p>
        </w:tc>
        <w:tc>
          <w:tcPr>
            <w:tcW w:w="798"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4DC2A27D"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Results compared to Plan (%)</w:t>
            </w:r>
          </w:p>
        </w:tc>
      </w:tr>
      <w:tr w:rsidR="00707D85" w:rsidRPr="00A21FA9" w14:paraId="2F6B9129" w14:textId="77777777" w:rsidTr="00A84076">
        <w:tc>
          <w:tcPr>
            <w:tcW w:w="193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8E3F99"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Net revenue</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2ABC2D"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Million VND</w:t>
            </w: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B820441"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342,606</w:t>
            </w:r>
          </w:p>
        </w:tc>
        <w:tc>
          <w:tcPr>
            <w:tcW w:w="80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5EA1FD4"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378,965</w:t>
            </w: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1D40FB6"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111%</w:t>
            </w:r>
          </w:p>
        </w:tc>
      </w:tr>
      <w:tr w:rsidR="00707D85" w:rsidRPr="00A21FA9" w14:paraId="40126E77" w14:textId="77777777" w:rsidTr="00A84076">
        <w:tc>
          <w:tcPr>
            <w:tcW w:w="193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AC95C7"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Profit before tax</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3FAE2DD"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Million VND</w:t>
            </w: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ADDFD86"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-53,404</w:t>
            </w:r>
          </w:p>
        </w:tc>
        <w:tc>
          <w:tcPr>
            <w:tcW w:w="80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53AADC"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-32,287</w:t>
            </w: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1CEA812"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-60%</w:t>
            </w:r>
          </w:p>
        </w:tc>
      </w:tr>
      <w:tr w:rsidR="00707D85" w:rsidRPr="00A21FA9" w14:paraId="7E233B36" w14:textId="77777777" w:rsidTr="00A84076">
        <w:tc>
          <w:tcPr>
            <w:tcW w:w="193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E24A05A"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Depreciation of fixed assets</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E285D5B"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Million VND</w:t>
            </w: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D9262E4"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42,145</w:t>
            </w:r>
          </w:p>
        </w:tc>
        <w:tc>
          <w:tcPr>
            <w:tcW w:w="80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3E8C854"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42,558</w:t>
            </w: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5A0FF7"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101%</w:t>
            </w:r>
          </w:p>
        </w:tc>
      </w:tr>
      <w:tr w:rsidR="00707D85" w:rsidRPr="00A21FA9" w14:paraId="632051B9" w14:textId="77777777" w:rsidTr="00A84076">
        <w:tc>
          <w:tcPr>
            <w:tcW w:w="1937"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A38792"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Average income</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494B6BF"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Million VND/person/month</w:t>
            </w: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337488"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14.0</w:t>
            </w:r>
          </w:p>
        </w:tc>
        <w:tc>
          <w:tcPr>
            <w:tcW w:w="80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90A799E"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13.5</w:t>
            </w: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E8981C"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96%</w:t>
            </w:r>
          </w:p>
        </w:tc>
      </w:tr>
    </w:tbl>
    <w:p w14:paraId="69EC0118" w14:textId="77777777" w:rsidR="00707D85" w:rsidRPr="00A21FA9" w:rsidRDefault="00556CCD" w:rsidP="00A97504">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Evaluation of production and business results in Q1/2024:</w:t>
      </w:r>
    </w:p>
    <w:p w14:paraId="1DF2DC39" w14:textId="77777777" w:rsidR="00707D85" w:rsidRPr="00A21FA9" w:rsidRDefault="00556CCD" w:rsidP="00A97504">
      <w:pPr>
        <w:keepNext/>
        <w:numPr>
          <w:ilvl w:val="1"/>
          <w:numId w:val="2"/>
        </w:numPr>
        <w:pBdr>
          <w:top w:val="nil"/>
          <w:left w:val="nil"/>
          <w:bottom w:val="nil"/>
          <w:right w:val="nil"/>
          <w:between w:val="nil"/>
        </w:pBdr>
        <w:tabs>
          <w:tab w:val="left" w:pos="432"/>
          <w:tab w:val="left" w:pos="546"/>
        </w:tabs>
        <w:spacing w:after="120" w:line="360" w:lineRule="auto"/>
        <w:jc w:val="both"/>
        <w:rPr>
          <w:rFonts w:ascii="Arial" w:eastAsia="Arial" w:hAnsi="Arial" w:cs="Arial"/>
          <w:color w:val="010000"/>
          <w:sz w:val="20"/>
          <w:szCs w:val="20"/>
        </w:rPr>
      </w:pPr>
      <w:r w:rsidRPr="00A21FA9">
        <w:rPr>
          <w:rFonts w:ascii="Arial" w:hAnsi="Arial" w:cs="Arial"/>
          <w:color w:val="010000"/>
          <w:sz w:val="20"/>
        </w:rPr>
        <w:t>As for business:</w:t>
      </w:r>
    </w:p>
    <w:p w14:paraId="08F73CC5" w14:textId="6479E08A" w:rsidR="00707D85" w:rsidRPr="00A21FA9" w:rsidRDefault="00556CCD" w:rsidP="00A97504">
      <w:pPr>
        <w:numPr>
          <w:ilvl w:val="0"/>
          <w:numId w:val="1"/>
        </w:numPr>
        <w:pBdr>
          <w:top w:val="nil"/>
          <w:left w:val="nil"/>
          <w:bottom w:val="nil"/>
          <w:right w:val="nil"/>
          <w:between w:val="nil"/>
        </w:pBdr>
        <w:tabs>
          <w:tab w:val="left" w:pos="307"/>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Revenue in Q1/2024: VND 378,965 billion, equivalent to 111% of the quarter</w:t>
      </w:r>
      <w:r w:rsidR="00A97504">
        <w:rPr>
          <w:rFonts w:ascii="Arial" w:hAnsi="Arial" w:cs="Arial"/>
          <w:color w:val="010000"/>
          <w:sz w:val="20"/>
        </w:rPr>
        <w:t>ly</w:t>
      </w:r>
      <w:r w:rsidRPr="00A21FA9">
        <w:rPr>
          <w:rFonts w:ascii="Arial" w:hAnsi="Arial" w:cs="Arial"/>
          <w:color w:val="010000"/>
          <w:sz w:val="20"/>
        </w:rPr>
        <w:t xml:space="preserve"> plan;</w:t>
      </w:r>
    </w:p>
    <w:p w14:paraId="0FE2FEAD" w14:textId="77777777" w:rsidR="00707D85" w:rsidRPr="00A21FA9" w:rsidRDefault="00556CCD" w:rsidP="00A97504">
      <w:pPr>
        <w:numPr>
          <w:ilvl w:val="0"/>
          <w:numId w:val="1"/>
        </w:numPr>
        <w:pBdr>
          <w:top w:val="nil"/>
          <w:left w:val="nil"/>
          <w:bottom w:val="nil"/>
          <w:right w:val="nil"/>
          <w:between w:val="nil"/>
        </w:pBdr>
        <w:tabs>
          <w:tab w:val="left" w:pos="307"/>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Revenue from exports in Q1/2024: ~ USD 4</w:t>
      </w:r>
      <w:r w:rsidR="00A84076" w:rsidRPr="00A21FA9">
        <w:rPr>
          <w:rFonts w:ascii="Arial" w:hAnsi="Arial" w:cs="Arial"/>
          <w:color w:val="010000"/>
          <w:sz w:val="20"/>
        </w:rPr>
        <w:t>.</w:t>
      </w:r>
      <w:r w:rsidRPr="00A21FA9">
        <w:rPr>
          <w:rFonts w:ascii="Arial" w:hAnsi="Arial" w:cs="Arial"/>
          <w:color w:val="010000"/>
          <w:sz w:val="20"/>
        </w:rPr>
        <w:t>0 million.</w:t>
      </w:r>
    </w:p>
    <w:p w14:paraId="1250F3AA" w14:textId="77777777" w:rsidR="00707D85" w:rsidRPr="00A21FA9" w:rsidRDefault="00556CCD" w:rsidP="00A97504">
      <w:pPr>
        <w:keepNext/>
        <w:numPr>
          <w:ilvl w:val="1"/>
          <w:numId w:val="2"/>
        </w:numPr>
        <w:pBdr>
          <w:top w:val="nil"/>
          <w:left w:val="nil"/>
          <w:bottom w:val="nil"/>
          <w:right w:val="nil"/>
          <w:between w:val="nil"/>
        </w:pBdr>
        <w:tabs>
          <w:tab w:val="left" w:pos="432"/>
          <w:tab w:val="left" w:pos="550"/>
        </w:tabs>
        <w:spacing w:after="120" w:line="360" w:lineRule="auto"/>
        <w:jc w:val="both"/>
        <w:rPr>
          <w:rFonts w:ascii="Arial" w:eastAsia="Arial" w:hAnsi="Arial" w:cs="Arial"/>
          <w:color w:val="010000"/>
          <w:sz w:val="20"/>
          <w:szCs w:val="20"/>
        </w:rPr>
      </w:pPr>
      <w:r w:rsidRPr="00A21FA9">
        <w:rPr>
          <w:rFonts w:ascii="Arial" w:hAnsi="Arial" w:cs="Arial"/>
          <w:color w:val="010000"/>
          <w:sz w:val="20"/>
        </w:rPr>
        <w:t>As for Finance:</w:t>
      </w:r>
    </w:p>
    <w:p w14:paraId="46A078CE" w14:textId="77777777" w:rsidR="00707D85" w:rsidRPr="00A21FA9" w:rsidRDefault="00556CCD" w:rsidP="00A97504">
      <w:pPr>
        <w:numPr>
          <w:ilvl w:val="0"/>
          <w:numId w:val="1"/>
        </w:numPr>
        <w:pBdr>
          <w:top w:val="nil"/>
          <w:left w:val="nil"/>
          <w:bottom w:val="nil"/>
          <w:right w:val="nil"/>
          <w:between w:val="nil"/>
        </w:pBdr>
        <w:tabs>
          <w:tab w:val="left" w:pos="307"/>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Profit before tax targets: Q1/2024: VND -32,287 million</w:t>
      </w:r>
    </w:p>
    <w:p w14:paraId="15474B95" w14:textId="77777777" w:rsidR="00707D85" w:rsidRPr="00A21FA9" w:rsidRDefault="00556CCD" w:rsidP="00A97504">
      <w:pPr>
        <w:numPr>
          <w:ilvl w:val="0"/>
          <w:numId w:val="1"/>
        </w:numPr>
        <w:pBdr>
          <w:top w:val="nil"/>
          <w:left w:val="nil"/>
          <w:bottom w:val="nil"/>
          <w:right w:val="nil"/>
          <w:between w:val="nil"/>
        </w:pBdr>
        <w:tabs>
          <w:tab w:val="left" w:pos="307"/>
          <w:tab w:val="left" w:pos="432"/>
        </w:tabs>
        <w:spacing w:after="120" w:line="360" w:lineRule="auto"/>
        <w:jc w:val="both"/>
        <w:rPr>
          <w:rFonts w:ascii="Arial" w:eastAsia="Arial" w:hAnsi="Arial" w:cs="Arial"/>
          <w:color w:val="010000"/>
          <w:sz w:val="20"/>
          <w:szCs w:val="20"/>
        </w:rPr>
      </w:pPr>
      <w:bookmarkStart w:id="0" w:name="_heading=h.gjdgxs"/>
      <w:bookmarkEnd w:id="0"/>
      <w:r w:rsidRPr="00A21FA9">
        <w:rPr>
          <w:rFonts w:ascii="Arial" w:hAnsi="Arial" w:cs="Arial"/>
          <w:color w:val="010000"/>
          <w:sz w:val="20"/>
        </w:rPr>
        <w:t>Depreciation of fixed assets: Depreciation expense in Q1/2024: VND 42,558 million, accounting for 101% of the plan.</w:t>
      </w:r>
    </w:p>
    <w:p w14:paraId="6B2B5750" w14:textId="77777777" w:rsidR="00707D85" w:rsidRPr="00A21FA9" w:rsidRDefault="00556CCD" w:rsidP="00A97504">
      <w:pPr>
        <w:keepNext/>
        <w:numPr>
          <w:ilvl w:val="0"/>
          <w:numId w:val="2"/>
        </w:numPr>
        <w:pBdr>
          <w:top w:val="nil"/>
          <w:left w:val="nil"/>
          <w:bottom w:val="nil"/>
          <w:right w:val="nil"/>
          <w:between w:val="nil"/>
        </w:pBdr>
        <w:tabs>
          <w:tab w:val="left" w:pos="368"/>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Production and business orientation for Q2/2024:</w:t>
      </w:r>
    </w:p>
    <w:p w14:paraId="78C17D23" w14:textId="357067C6" w:rsidR="00707D85" w:rsidRPr="00A21FA9" w:rsidRDefault="00556CCD" w:rsidP="00A975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The Board of Directors</w:t>
      </w:r>
      <w:r w:rsidR="00A97504">
        <w:rPr>
          <w:rFonts w:ascii="Arial" w:hAnsi="Arial" w:cs="Arial"/>
          <w:color w:val="010000"/>
          <w:sz w:val="20"/>
        </w:rPr>
        <w:t xml:space="preserve"> assigns the Executive Board to the</w:t>
      </w:r>
      <w:r w:rsidRPr="00A21FA9">
        <w:rPr>
          <w:rFonts w:ascii="Arial" w:hAnsi="Arial" w:cs="Arial"/>
          <w:color w:val="010000"/>
          <w:sz w:val="20"/>
        </w:rPr>
        <w:t xml:space="preserve"> production and business plan for Q2/2024 with the following main targets:</w:t>
      </w:r>
    </w:p>
    <w:tbl>
      <w:tblPr>
        <w:tblStyle w:val="a0"/>
        <w:tblW w:w="5000" w:type="pct"/>
        <w:tblLook w:val="0400" w:firstRow="0" w:lastRow="0" w:firstColumn="0" w:lastColumn="0" w:noHBand="0" w:noVBand="1"/>
      </w:tblPr>
      <w:tblGrid>
        <w:gridCol w:w="2193"/>
        <w:gridCol w:w="1721"/>
        <w:gridCol w:w="1015"/>
        <w:gridCol w:w="1015"/>
        <w:gridCol w:w="1024"/>
        <w:gridCol w:w="1015"/>
        <w:gridCol w:w="1034"/>
      </w:tblGrid>
      <w:tr w:rsidR="00707D85" w:rsidRPr="00A21FA9" w14:paraId="3FF26766" w14:textId="77777777" w:rsidTr="00556CCD">
        <w:tc>
          <w:tcPr>
            <w:tcW w:w="1279" w:type="pct"/>
            <w:vMerge w:val="restart"/>
            <w:tcBorders>
              <w:top w:val="single" w:sz="4" w:space="0" w:color="000000"/>
              <w:left w:val="single" w:sz="4" w:space="0" w:color="000000"/>
            </w:tcBorders>
            <w:shd w:val="clear" w:color="auto" w:fill="auto"/>
            <w:tcMar>
              <w:top w:w="0" w:type="dxa"/>
              <w:bottom w:w="0" w:type="dxa"/>
            </w:tcMar>
            <w:vAlign w:val="center"/>
          </w:tcPr>
          <w:p w14:paraId="31EAA944"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Targets</w:t>
            </w:r>
          </w:p>
        </w:tc>
        <w:tc>
          <w:tcPr>
            <w:tcW w:w="576" w:type="pct"/>
            <w:vMerge w:val="restart"/>
            <w:tcBorders>
              <w:top w:val="single" w:sz="4" w:space="0" w:color="000000"/>
              <w:left w:val="single" w:sz="4" w:space="0" w:color="000000"/>
            </w:tcBorders>
            <w:shd w:val="clear" w:color="auto" w:fill="auto"/>
            <w:tcMar>
              <w:top w:w="0" w:type="dxa"/>
              <w:bottom w:w="0" w:type="dxa"/>
            </w:tcMar>
            <w:vAlign w:val="center"/>
          </w:tcPr>
          <w:p w14:paraId="126C71CB"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Unit</w:t>
            </w:r>
          </w:p>
        </w:tc>
        <w:tc>
          <w:tcPr>
            <w:tcW w:w="626" w:type="pct"/>
            <w:vMerge w:val="restart"/>
            <w:tcBorders>
              <w:top w:val="single" w:sz="4" w:space="0" w:color="000000"/>
              <w:left w:val="single" w:sz="4" w:space="0" w:color="000000"/>
            </w:tcBorders>
            <w:shd w:val="clear" w:color="auto" w:fill="auto"/>
            <w:tcMar>
              <w:top w:w="0" w:type="dxa"/>
              <w:bottom w:w="0" w:type="dxa"/>
            </w:tcMar>
            <w:vAlign w:val="center"/>
          </w:tcPr>
          <w:p w14:paraId="65563549"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 xml:space="preserve">Results Q1/2024 </w:t>
            </w:r>
          </w:p>
        </w:tc>
        <w:tc>
          <w:tcPr>
            <w:tcW w:w="2519" w:type="pct"/>
            <w:gridSpan w:val="4"/>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4728BB"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 xml:space="preserve">Plan Q2/2024 </w:t>
            </w:r>
          </w:p>
        </w:tc>
      </w:tr>
      <w:tr w:rsidR="00707D85" w:rsidRPr="00A21FA9" w14:paraId="41129AF5" w14:textId="77777777" w:rsidTr="00556CCD">
        <w:tc>
          <w:tcPr>
            <w:tcW w:w="1279" w:type="pct"/>
            <w:vMerge/>
            <w:tcBorders>
              <w:top w:val="single" w:sz="4" w:space="0" w:color="000000"/>
              <w:left w:val="single" w:sz="4" w:space="0" w:color="000000"/>
            </w:tcBorders>
            <w:shd w:val="clear" w:color="auto" w:fill="auto"/>
            <w:tcMar>
              <w:top w:w="0" w:type="dxa"/>
              <w:bottom w:w="0" w:type="dxa"/>
            </w:tcMar>
            <w:vAlign w:val="center"/>
          </w:tcPr>
          <w:p w14:paraId="5175893F" w14:textId="77777777" w:rsidR="00707D85" w:rsidRPr="00A21FA9" w:rsidRDefault="00707D85"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76" w:type="pct"/>
            <w:vMerge/>
            <w:tcBorders>
              <w:top w:val="single" w:sz="4" w:space="0" w:color="000000"/>
              <w:left w:val="single" w:sz="4" w:space="0" w:color="000000"/>
            </w:tcBorders>
            <w:shd w:val="clear" w:color="auto" w:fill="auto"/>
            <w:tcMar>
              <w:top w:w="0" w:type="dxa"/>
              <w:bottom w:w="0" w:type="dxa"/>
            </w:tcMar>
            <w:vAlign w:val="center"/>
          </w:tcPr>
          <w:p w14:paraId="251F23E2" w14:textId="77777777" w:rsidR="00707D85" w:rsidRPr="00A21FA9" w:rsidRDefault="00707D85"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6" w:type="pct"/>
            <w:vMerge/>
            <w:tcBorders>
              <w:top w:val="single" w:sz="4" w:space="0" w:color="000000"/>
              <w:left w:val="single" w:sz="4" w:space="0" w:color="000000"/>
            </w:tcBorders>
            <w:shd w:val="clear" w:color="auto" w:fill="auto"/>
            <w:tcMar>
              <w:top w:w="0" w:type="dxa"/>
              <w:bottom w:w="0" w:type="dxa"/>
            </w:tcMar>
            <w:vAlign w:val="center"/>
          </w:tcPr>
          <w:p w14:paraId="36B06174" w14:textId="77777777" w:rsidR="00707D85" w:rsidRPr="00A21FA9" w:rsidRDefault="00707D85"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26" w:type="pct"/>
            <w:tcBorders>
              <w:top w:val="single" w:sz="4" w:space="0" w:color="000000"/>
              <w:left w:val="single" w:sz="4" w:space="0" w:color="000000"/>
            </w:tcBorders>
            <w:shd w:val="clear" w:color="auto" w:fill="auto"/>
            <w:tcMar>
              <w:top w:w="0" w:type="dxa"/>
              <w:bottom w:w="0" w:type="dxa"/>
            </w:tcMar>
            <w:vAlign w:val="center"/>
          </w:tcPr>
          <w:p w14:paraId="27977C81"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April</w:t>
            </w:r>
          </w:p>
        </w:tc>
        <w:tc>
          <w:tcPr>
            <w:tcW w:w="631" w:type="pct"/>
            <w:tcBorders>
              <w:top w:val="single" w:sz="4" w:space="0" w:color="000000"/>
              <w:left w:val="single" w:sz="4" w:space="0" w:color="000000"/>
            </w:tcBorders>
            <w:shd w:val="clear" w:color="auto" w:fill="auto"/>
            <w:tcMar>
              <w:top w:w="0" w:type="dxa"/>
              <w:bottom w:w="0" w:type="dxa"/>
            </w:tcMar>
            <w:vAlign w:val="center"/>
          </w:tcPr>
          <w:p w14:paraId="799020C6"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May</w:t>
            </w:r>
          </w:p>
        </w:tc>
        <w:tc>
          <w:tcPr>
            <w:tcW w:w="626" w:type="pct"/>
            <w:tcBorders>
              <w:top w:val="single" w:sz="4" w:space="0" w:color="000000"/>
              <w:left w:val="single" w:sz="4" w:space="0" w:color="000000"/>
            </w:tcBorders>
            <w:shd w:val="clear" w:color="auto" w:fill="auto"/>
            <w:tcMar>
              <w:top w:w="0" w:type="dxa"/>
              <w:bottom w:w="0" w:type="dxa"/>
            </w:tcMar>
            <w:vAlign w:val="center"/>
          </w:tcPr>
          <w:p w14:paraId="294649D0"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June</w:t>
            </w:r>
          </w:p>
        </w:tc>
        <w:tc>
          <w:tcPr>
            <w:tcW w:w="6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8A6A09"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Total</w:t>
            </w:r>
          </w:p>
        </w:tc>
      </w:tr>
      <w:tr w:rsidR="00707D85" w:rsidRPr="00A21FA9" w14:paraId="3A9749E0" w14:textId="77777777" w:rsidTr="00556CCD">
        <w:tc>
          <w:tcPr>
            <w:tcW w:w="1279" w:type="pct"/>
            <w:tcBorders>
              <w:top w:val="single" w:sz="4" w:space="0" w:color="000000"/>
              <w:left w:val="single" w:sz="4" w:space="0" w:color="000000"/>
            </w:tcBorders>
            <w:shd w:val="clear" w:color="auto" w:fill="auto"/>
            <w:tcMar>
              <w:top w:w="0" w:type="dxa"/>
              <w:bottom w:w="0" w:type="dxa"/>
            </w:tcMar>
            <w:vAlign w:val="center"/>
          </w:tcPr>
          <w:p w14:paraId="01CF91FC"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Net revenue</w:t>
            </w:r>
          </w:p>
        </w:tc>
        <w:tc>
          <w:tcPr>
            <w:tcW w:w="576" w:type="pct"/>
            <w:tcBorders>
              <w:top w:val="single" w:sz="4" w:space="0" w:color="000000"/>
              <w:left w:val="single" w:sz="4" w:space="0" w:color="000000"/>
            </w:tcBorders>
            <w:shd w:val="clear" w:color="auto" w:fill="auto"/>
            <w:tcMar>
              <w:top w:w="0" w:type="dxa"/>
              <w:bottom w:w="0" w:type="dxa"/>
            </w:tcMar>
            <w:vAlign w:val="center"/>
          </w:tcPr>
          <w:p w14:paraId="13201005"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Million VND</w:t>
            </w:r>
          </w:p>
        </w:tc>
        <w:tc>
          <w:tcPr>
            <w:tcW w:w="626" w:type="pct"/>
            <w:tcBorders>
              <w:top w:val="single" w:sz="4" w:space="0" w:color="000000"/>
              <w:left w:val="single" w:sz="4" w:space="0" w:color="000000"/>
            </w:tcBorders>
            <w:shd w:val="clear" w:color="auto" w:fill="auto"/>
            <w:tcMar>
              <w:top w:w="0" w:type="dxa"/>
              <w:bottom w:w="0" w:type="dxa"/>
            </w:tcMar>
            <w:vAlign w:val="center"/>
          </w:tcPr>
          <w:p w14:paraId="50134E62"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342,606</w:t>
            </w:r>
          </w:p>
        </w:tc>
        <w:tc>
          <w:tcPr>
            <w:tcW w:w="626" w:type="pct"/>
            <w:tcBorders>
              <w:top w:val="single" w:sz="4" w:space="0" w:color="000000"/>
              <w:left w:val="single" w:sz="4" w:space="0" w:color="000000"/>
            </w:tcBorders>
            <w:shd w:val="clear" w:color="auto" w:fill="auto"/>
            <w:tcMar>
              <w:top w:w="0" w:type="dxa"/>
              <w:bottom w:w="0" w:type="dxa"/>
            </w:tcMar>
            <w:vAlign w:val="center"/>
          </w:tcPr>
          <w:p w14:paraId="0FB2E9C9"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181,988</w:t>
            </w:r>
          </w:p>
        </w:tc>
        <w:tc>
          <w:tcPr>
            <w:tcW w:w="631" w:type="pct"/>
            <w:tcBorders>
              <w:top w:val="single" w:sz="4" w:space="0" w:color="000000"/>
              <w:left w:val="single" w:sz="4" w:space="0" w:color="000000"/>
            </w:tcBorders>
            <w:shd w:val="clear" w:color="auto" w:fill="auto"/>
            <w:tcMar>
              <w:top w:w="0" w:type="dxa"/>
              <w:bottom w:w="0" w:type="dxa"/>
            </w:tcMar>
            <w:vAlign w:val="center"/>
          </w:tcPr>
          <w:p w14:paraId="5DBF71E0"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180,019</w:t>
            </w:r>
          </w:p>
        </w:tc>
        <w:tc>
          <w:tcPr>
            <w:tcW w:w="626" w:type="pct"/>
            <w:tcBorders>
              <w:top w:val="single" w:sz="4" w:space="0" w:color="000000"/>
              <w:left w:val="single" w:sz="4" w:space="0" w:color="000000"/>
            </w:tcBorders>
            <w:shd w:val="clear" w:color="auto" w:fill="auto"/>
            <w:tcMar>
              <w:top w:w="0" w:type="dxa"/>
              <w:bottom w:w="0" w:type="dxa"/>
            </w:tcMar>
            <w:vAlign w:val="center"/>
          </w:tcPr>
          <w:p w14:paraId="14807E83"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190,558</w:t>
            </w:r>
          </w:p>
        </w:tc>
        <w:tc>
          <w:tcPr>
            <w:tcW w:w="6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821CCB"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552,565</w:t>
            </w:r>
          </w:p>
        </w:tc>
      </w:tr>
      <w:tr w:rsidR="00707D85" w:rsidRPr="00A21FA9" w14:paraId="45F202E9" w14:textId="77777777" w:rsidTr="00556CCD">
        <w:tc>
          <w:tcPr>
            <w:tcW w:w="1279" w:type="pct"/>
            <w:tcBorders>
              <w:top w:val="single" w:sz="4" w:space="0" w:color="000000"/>
              <w:left w:val="single" w:sz="4" w:space="0" w:color="000000"/>
            </w:tcBorders>
            <w:shd w:val="clear" w:color="auto" w:fill="auto"/>
            <w:tcMar>
              <w:top w:w="0" w:type="dxa"/>
              <w:bottom w:w="0" w:type="dxa"/>
            </w:tcMar>
            <w:vAlign w:val="center"/>
          </w:tcPr>
          <w:p w14:paraId="58F9DDB5"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Profit before tax</w:t>
            </w:r>
          </w:p>
        </w:tc>
        <w:tc>
          <w:tcPr>
            <w:tcW w:w="576" w:type="pct"/>
            <w:tcBorders>
              <w:top w:val="single" w:sz="4" w:space="0" w:color="000000"/>
              <w:left w:val="single" w:sz="4" w:space="0" w:color="000000"/>
            </w:tcBorders>
            <w:shd w:val="clear" w:color="auto" w:fill="auto"/>
            <w:tcMar>
              <w:top w:w="0" w:type="dxa"/>
              <w:bottom w:w="0" w:type="dxa"/>
            </w:tcMar>
            <w:vAlign w:val="center"/>
          </w:tcPr>
          <w:p w14:paraId="04BB3F9A"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Million VND</w:t>
            </w:r>
          </w:p>
        </w:tc>
        <w:tc>
          <w:tcPr>
            <w:tcW w:w="626" w:type="pct"/>
            <w:tcBorders>
              <w:top w:val="single" w:sz="4" w:space="0" w:color="000000"/>
              <w:left w:val="single" w:sz="4" w:space="0" w:color="000000"/>
            </w:tcBorders>
            <w:shd w:val="clear" w:color="auto" w:fill="auto"/>
            <w:tcMar>
              <w:top w:w="0" w:type="dxa"/>
              <w:bottom w:w="0" w:type="dxa"/>
            </w:tcMar>
            <w:vAlign w:val="center"/>
          </w:tcPr>
          <w:p w14:paraId="1E839811"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-53,404</w:t>
            </w:r>
          </w:p>
        </w:tc>
        <w:tc>
          <w:tcPr>
            <w:tcW w:w="626" w:type="pct"/>
            <w:tcBorders>
              <w:top w:val="single" w:sz="4" w:space="0" w:color="000000"/>
              <w:left w:val="single" w:sz="4" w:space="0" w:color="000000"/>
            </w:tcBorders>
            <w:shd w:val="clear" w:color="auto" w:fill="auto"/>
            <w:tcMar>
              <w:top w:w="0" w:type="dxa"/>
              <w:bottom w:w="0" w:type="dxa"/>
            </w:tcMar>
            <w:vAlign w:val="center"/>
          </w:tcPr>
          <w:p w14:paraId="396D8297"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4,748</w:t>
            </w:r>
          </w:p>
        </w:tc>
        <w:tc>
          <w:tcPr>
            <w:tcW w:w="631" w:type="pct"/>
            <w:tcBorders>
              <w:top w:val="single" w:sz="4" w:space="0" w:color="000000"/>
              <w:left w:val="single" w:sz="4" w:space="0" w:color="000000"/>
            </w:tcBorders>
            <w:shd w:val="clear" w:color="auto" w:fill="auto"/>
            <w:tcMar>
              <w:top w:w="0" w:type="dxa"/>
              <w:bottom w:w="0" w:type="dxa"/>
            </w:tcMar>
            <w:vAlign w:val="center"/>
          </w:tcPr>
          <w:p w14:paraId="3937C075"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5,219</w:t>
            </w:r>
          </w:p>
        </w:tc>
        <w:tc>
          <w:tcPr>
            <w:tcW w:w="626" w:type="pct"/>
            <w:tcBorders>
              <w:top w:val="single" w:sz="4" w:space="0" w:color="000000"/>
              <w:left w:val="single" w:sz="4" w:space="0" w:color="000000"/>
            </w:tcBorders>
            <w:shd w:val="clear" w:color="auto" w:fill="auto"/>
            <w:tcMar>
              <w:top w:w="0" w:type="dxa"/>
              <w:bottom w:w="0" w:type="dxa"/>
            </w:tcMar>
            <w:vAlign w:val="center"/>
          </w:tcPr>
          <w:p w14:paraId="2ADF2E09"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5,409</w:t>
            </w:r>
          </w:p>
        </w:tc>
        <w:tc>
          <w:tcPr>
            <w:tcW w:w="6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F5C777"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15,376</w:t>
            </w:r>
          </w:p>
        </w:tc>
      </w:tr>
      <w:tr w:rsidR="00707D85" w:rsidRPr="00A21FA9" w14:paraId="37B268CC" w14:textId="77777777" w:rsidTr="00556CCD">
        <w:tc>
          <w:tcPr>
            <w:tcW w:w="1279" w:type="pct"/>
            <w:tcBorders>
              <w:top w:val="single" w:sz="4" w:space="0" w:color="000000"/>
              <w:left w:val="single" w:sz="4" w:space="0" w:color="000000"/>
            </w:tcBorders>
            <w:shd w:val="clear" w:color="auto" w:fill="auto"/>
            <w:tcMar>
              <w:top w:w="0" w:type="dxa"/>
              <w:bottom w:w="0" w:type="dxa"/>
            </w:tcMar>
            <w:vAlign w:val="center"/>
          </w:tcPr>
          <w:p w14:paraId="706686F3"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Depreciation of fixed assets</w:t>
            </w:r>
          </w:p>
        </w:tc>
        <w:tc>
          <w:tcPr>
            <w:tcW w:w="576" w:type="pct"/>
            <w:tcBorders>
              <w:top w:val="single" w:sz="4" w:space="0" w:color="000000"/>
              <w:left w:val="single" w:sz="4" w:space="0" w:color="000000"/>
            </w:tcBorders>
            <w:shd w:val="clear" w:color="auto" w:fill="auto"/>
            <w:tcMar>
              <w:top w:w="0" w:type="dxa"/>
              <w:bottom w:w="0" w:type="dxa"/>
            </w:tcMar>
            <w:vAlign w:val="center"/>
          </w:tcPr>
          <w:p w14:paraId="2853FE1B"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Million VND</w:t>
            </w:r>
          </w:p>
        </w:tc>
        <w:tc>
          <w:tcPr>
            <w:tcW w:w="626" w:type="pct"/>
            <w:tcBorders>
              <w:top w:val="single" w:sz="4" w:space="0" w:color="000000"/>
              <w:left w:val="single" w:sz="4" w:space="0" w:color="000000"/>
            </w:tcBorders>
            <w:shd w:val="clear" w:color="auto" w:fill="auto"/>
            <w:tcMar>
              <w:top w:w="0" w:type="dxa"/>
              <w:bottom w:w="0" w:type="dxa"/>
            </w:tcMar>
            <w:vAlign w:val="center"/>
          </w:tcPr>
          <w:p w14:paraId="394825F4"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42,145</w:t>
            </w:r>
          </w:p>
        </w:tc>
        <w:tc>
          <w:tcPr>
            <w:tcW w:w="626" w:type="pct"/>
            <w:tcBorders>
              <w:top w:val="single" w:sz="4" w:space="0" w:color="000000"/>
              <w:left w:val="single" w:sz="4" w:space="0" w:color="000000"/>
            </w:tcBorders>
            <w:shd w:val="clear" w:color="auto" w:fill="auto"/>
            <w:tcMar>
              <w:top w:w="0" w:type="dxa"/>
              <w:bottom w:w="0" w:type="dxa"/>
            </w:tcMar>
            <w:vAlign w:val="center"/>
          </w:tcPr>
          <w:p w14:paraId="1FE4DACF"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14,250</w:t>
            </w:r>
          </w:p>
        </w:tc>
        <w:tc>
          <w:tcPr>
            <w:tcW w:w="631" w:type="pct"/>
            <w:tcBorders>
              <w:top w:val="single" w:sz="4" w:space="0" w:color="000000"/>
              <w:left w:val="single" w:sz="4" w:space="0" w:color="000000"/>
            </w:tcBorders>
            <w:shd w:val="clear" w:color="auto" w:fill="auto"/>
            <w:tcMar>
              <w:top w:w="0" w:type="dxa"/>
              <w:bottom w:w="0" w:type="dxa"/>
            </w:tcMar>
            <w:vAlign w:val="center"/>
          </w:tcPr>
          <w:p w14:paraId="29AAF085"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14,250</w:t>
            </w:r>
          </w:p>
        </w:tc>
        <w:tc>
          <w:tcPr>
            <w:tcW w:w="626" w:type="pct"/>
            <w:tcBorders>
              <w:top w:val="single" w:sz="4" w:space="0" w:color="000000"/>
              <w:left w:val="single" w:sz="4" w:space="0" w:color="000000"/>
            </w:tcBorders>
            <w:shd w:val="clear" w:color="auto" w:fill="auto"/>
            <w:tcMar>
              <w:top w:w="0" w:type="dxa"/>
              <w:bottom w:w="0" w:type="dxa"/>
            </w:tcMar>
            <w:vAlign w:val="center"/>
          </w:tcPr>
          <w:p w14:paraId="1DD9F66F"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14,250</w:t>
            </w:r>
          </w:p>
        </w:tc>
        <w:tc>
          <w:tcPr>
            <w:tcW w:w="6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CFCB2D"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42,750</w:t>
            </w:r>
          </w:p>
        </w:tc>
      </w:tr>
      <w:tr w:rsidR="00707D85" w:rsidRPr="00A21FA9" w14:paraId="4EE8B767" w14:textId="77777777" w:rsidTr="00556CCD">
        <w:tc>
          <w:tcPr>
            <w:tcW w:w="1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6B1FB8"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Average income</w:t>
            </w:r>
          </w:p>
        </w:tc>
        <w:tc>
          <w:tcPr>
            <w:tcW w:w="5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ACA5DD"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Million VND/person/month</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640F30"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14.0</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A780AC"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14.0</w:t>
            </w:r>
          </w:p>
        </w:tc>
        <w:tc>
          <w:tcPr>
            <w:tcW w:w="6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003753"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14.0</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575A45"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14.0</w:t>
            </w:r>
          </w:p>
        </w:tc>
        <w:tc>
          <w:tcPr>
            <w:tcW w:w="6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2EF138" w14:textId="77777777" w:rsidR="00707D85" w:rsidRPr="00A21FA9" w:rsidRDefault="00556CCD" w:rsidP="00F117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21FA9">
              <w:rPr>
                <w:rFonts w:ascii="Arial" w:hAnsi="Arial" w:cs="Arial"/>
                <w:color w:val="010000"/>
                <w:sz w:val="20"/>
              </w:rPr>
              <w:t>14.0</w:t>
            </w:r>
          </w:p>
        </w:tc>
      </w:tr>
    </w:tbl>
    <w:p w14:paraId="50D0BDE3" w14:textId="77777777" w:rsidR="00707D85" w:rsidRPr="00A21FA9" w:rsidRDefault="00556CCD" w:rsidP="00A975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Implementation measures:</w:t>
      </w:r>
    </w:p>
    <w:p w14:paraId="731194A3" w14:textId="77777777" w:rsidR="00707D85" w:rsidRPr="00A21FA9" w:rsidRDefault="00556CCD" w:rsidP="00A97504">
      <w:pPr>
        <w:keepNext/>
        <w:numPr>
          <w:ilvl w:val="1"/>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A21FA9">
        <w:rPr>
          <w:rFonts w:ascii="Arial" w:hAnsi="Arial" w:cs="Arial"/>
          <w:color w:val="010000"/>
          <w:sz w:val="20"/>
        </w:rPr>
        <w:lastRenderedPageBreak/>
        <w:t>As for production and product quality:</w:t>
      </w:r>
    </w:p>
    <w:p w14:paraId="048035FE"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Factories inspect and maintain machinery and equipment to ensure stable production, and strictly control input materials to ensure product quality according to standards. Planned targets should be achieved.</w:t>
      </w:r>
    </w:p>
    <w:p w14:paraId="45A3FFA7"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Material reserve:</w:t>
      </w:r>
    </w:p>
    <w:p w14:paraId="3F939437" w14:textId="77777777" w:rsidR="00707D85" w:rsidRPr="00A21FA9" w:rsidRDefault="00556CCD" w:rsidP="00A97504">
      <w:pPr>
        <w:numPr>
          <w:ilvl w:val="0"/>
          <w:numId w:val="3"/>
        </w:numPr>
        <w:pBdr>
          <w:top w:val="nil"/>
          <w:left w:val="nil"/>
          <w:bottom w:val="nil"/>
          <w:right w:val="nil"/>
          <w:between w:val="nil"/>
        </w:pBdr>
        <w:tabs>
          <w:tab w:val="left" w:pos="432"/>
          <w:tab w:val="left" w:pos="806"/>
        </w:tabs>
        <w:spacing w:after="120" w:line="360" w:lineRule="auto"/>
        <w:jc w:val="both"/>
        <w:rPr>
          <w:rFonts w:ascii="Arial" w:eastAsia="Arial" w:hAnsi="Arial" w:cs="Arial"/>
          <w:color w:val="010000"/>
          <w:sz w:val="20"/>
          <w:szCs w:val="20"/>
        </w:rPr>
      </w:pPr>
      <w:r w:rsidRPr="00A21FA9">
        <w:rPr>
          <w:rFonts w:ascii="Arial" w:hAnsi="Arial" w:cs="Arial"/>
          <w:color w:val="010000"/>
          <w:sz w:val="20"/>
        </w:rPr>
        <w:t>Maintain the reserve of materials at the supplier's warehouse in the form of warehouse storage, appoint employees to regularly check and supervise to ensure the correct and sufficient quality and quantity according to technical requirements;</w:t>
      </w:r>
    </w:p>
    <w:p w14:paraId="1BA9E710" w14:textId="77777777" w:rsidR="00707D85" w:rsidRPr="00A21FA9" w:rsidRDefault="00556CCD" w:rsidP="00A97504">
      <w:pPr>
        <w:numPr>
          <w:ilvl w:val="0"/>
          <w:numId w:val="3"/>
        </w:numPr>
        <w:pBdr>
          <w:top w:val="nil"/>
          <w:left w:val="nil"/>
          <w:bottom w:val="nil"/>
          <w:right w:val="nil"/>
          <w:between w:val="nil"/>
        </w:pBdr>
        <w:tabs>
          <w:tab w:val="left" w:pos="432"/>
          <w:tab w:val="left" w:pos="806"/>
        </w:tabs>
        <w:spacing w:after="120" w:line="360" w:lineRule="auto"/>
        <w:jc w:val="both"/>
        <w:rPr>
          <w:rFonts w:ascii="Arial" w:eastAsia="Arial" w:hAnsi="Arial" w:cs="Arial"/>
          <w:color w:val="010000"/>
          <w:sz w:val="20"/>
          <w:szCs w:val="20"/>
        </w:rPr>
      </w:pPr>
      <w:r w:rsidRPr="00A21FA9">
        <w:rPr>
          <w:rFonts w:ascii="Arial" w:hAnsi="Arial" w:cs="Arial"/>
          <w:color w:val="010000"/>
          <w:sz w:val="20"/>
        </w:rPr>
        <w:t>Seek materials sources of kaolin and clay to ensure reserves from 6 months to 1 year of production. Fully utilize the rented warehouse to store materials;</w:t>
      </w:r>
    </w:p>
    <w:p w14:paraId="6012058F"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 xml:space="preserve">As for product quality: Ensure compliance with internal standard TCCS GRA 03:2013 promulgated by </w:t>
      </w:r>
      <w:proofErr w:type="spellStart"/>
      <w:r w:rsidRPr="00A21FA9">
        <w:rPr>
          <w:rFonts w:ascii="Arial" w:hAnsi="Arial" w:cs="Arial"/>
          <w:color w:val="010000"/>
          <w:sz w:val="20"/>
        </w:rPr>
        <w:t>Viglacera</w:t>
      </w:r>
      <w:proofErr w:type="spellEnd"/>
      <w:r w:rsidRPr="00A21FA9">
        <w:rPr>
          <w:rFonts w:ascii="Arial" w:hAnsi="Arial" w:cs="Arial"/>
          <w:color w:val="010000"/>
          <w:sz w:val="20"/>
        </w:rPr>
        <w:t xml:space="preserve"> Corporation.</w:t>
      </w:r>
    </w:p>
    <w:p w14:paraId="2E6C3A5C"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Recovery rate of Factories: Strive to reach over 96%.</w:t>
      </w:r>
    </w:p>
    <w:p w14:paraId="0907951F" w14:textId="77777777" w:rsidR="00707D85" w:rsidRPr="00A21FA9" w:rsidRDefault="00556CCD" w:rsidP="00A97504">
      <w:pPr>
        <w:keepNext/>
        <w:numPr>
          <w:ilvl w:val="1"/>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A21FA9">
        <w:rPr>
          <w:rFonts w:ascii="Arial" w:hAnsi="Arial" w:cs="Arial"/>
          <w:color w:val="010000"/>
          <w:sz w:val="20"/>
        </w:rPr>
        <w:t>Control and reduction of expenses:</w:t>
      </w:r>
    </w:p>
    <w:p w14:paraId="02F0747F"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Continue to negotiate with suppliers to reduce the price of input materials and supplies. Seek alternative sources of materials with suitable quality and low price;</w:t>
      </w:r>
    </w:p>
    <w:p w14:paraId="5DB1E262"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Strengthen the quality supervision of input materials and supplies to reduce shrinkage of phases.</w:t>
      </w:r>
    </w:p>
    <w:p w14:paraId="0C46B6EE"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Implement production expense allocation to departments, review weekly, monthly, and quarterly to ensure output, quality and recovery targets;</w:t>
      </w:r>
    </w:p>
    <w:p w14:paraId="0FE46D1B" w14:textId="77777777" w:rsidR="00707D85" w:rsidRPr="00A21FA9" w:rsidRDefault="00556CCD" w:rsidP="00A97504">
      <w:pPr>
        <w:keepNext/>
        <w:numPr>
          <w:ilvl w:val="1"/>
          <w:numId w:val="2"/>
        </w:num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A21FA9">
        <w:rPr>
          <w:rFonts w:ascii="Arial" w:hAnsi="Arial" w:cs="Arial"/>
          <w:color w:val="010000"/>
          <w:sz w:val="20"/>
        </w:rPr>
        <w:t>Business:</w:t>
      </w:r>
    </w:p>
    <w:p w14:paraId="493A5177"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 xml:space="preserve">Cooperate with </w:t>
      </w:r>
      <w:proofErr w:type="spellStart"/>
      <w:r w:rsidRPr="00A21FA9">
        <w:rPr>
          <w:rFonts w:ascii="Arial" w:hAnsi="Arial" w:cs="Arial"/>
          <w:color w:val="010000"/>
          <w:sz w:val="20"/>
        </w:rPr>
        <w:t>Viglacera</w:t>
      </w:r>
      <w:proofErr w:type="spellEnd"/>
      <w:r w:rsidRPr="00A21FA9">
        <w:rPr>
          <w:rFonts w:ascii="Arial" w:hAnsi="Arial" w:cs="Arial"/>
          <w:color w:val="010000"/>
          <w:sz w:val="20"/>
        </w:rPr>
        <w:t xml:space="preserve"> Ceramic Tiles Trading Joint Stock Company to develop monthly production plans, business plans, and financial plans;</w:t>
      </w:r>
    </w:p>
    <w:p w14:paraId="5D5425F5"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Actively selling inventory;</w:t>
      </w:r>
    </w:p>
    <w:p w14:paraId="00411F25" w14:textId="77777777" w:rsidR="00707D85" w:rsidRPr="00A21FA9" w:rsidRDefault="00515173"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Sell</w:t>
      </w:r>
      <w:r w:rsidR="00556CCD" w:rsidRPr="00A21FA9">
        <w:rPr>
          <w:rFonts w:ascii="Arial" w:hAnsi="Arial" w:cs="Arial"/>
          <w:color w:val="010000"/>
          <w:sz w:val="20"/>
        </w:rPr>
        <w:t xml:space="preserve"> sintered stone products at </w:t>
      </w:r>
      <w:proofErr w:type="spellStart"/>
      <w:r w:rsidR="00556CCD" w:rsidRPr="00A21FA9">
        <w:rPr>
          <w:rFonts w:ascii="Arial" w:hAnsi="Arial" w:cs="Arial"/>
          <w:color w:val="010000"/>
          <w:sz w:val="20"/>
        </w:rPr>
        <w:t>Viglacera</w:t>
      </w:r>
      <w:proofErr w:type="spellEnd"/>
      <w:r w:rsidR="00556CCD" w:rsidRPr="00A21FA9">
        <w:rPr>
          <w:rFonts w:ascii="Arial" w:hAnsi="Arial" w:cs="Arial"/>
          <w:color w:val="010000"/>
          <w:sz w:val="20"/>
        </w:rPr>
        <w:t xml:space="preserve"> </w:t>
      </w:r>
      <w:proofErr w:type="spellStart"/>
      <w:r w:rsidR="00556CCD" w:rsidRPr="00A21FA9">
        <w:rPr>
          <w:rFonts w:ascii="Arial" w:hAnsi="Arial" w:cs="Arial"/>
          <w:color w:val="010000"/>
          <w:sz w:val="20"/>
        </w:rPr>
        <w:t>EuroTile</w:t>
      </w:r>
      <w:proofErr w:type="spellEnd"/>
      <w:r w:rsidR="00556CCD" w:rsidRPr="00A21FA9">
        <w:rPr>
          <w:rFonts w:ascii="Arial" w:hAnsi="Arial" w:cs="Arial"/>
          <w:color w:val="010000"/>
          <w:sz w:val="20"/>
        </w:rPr>
        <w:t xml:space="preserve"> Tile Factory;</w:t>
      </w:r>
    </w:p>
    <w:p w14:paraId="5D547A93" w14:textId="64758AAC"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 xml:space="preserve">Continue to promote exports to traditional markets such as Taiwan, Japan, Korea, Philippines and develop in new markets such as Brazil, Australia, UK, </w:t>
      </w:r>
      <w:r w:rsidR="00A97504">
        <w:rPr>
          <w:rFonts w:ascii="Arial" w:hAnsi="Arial" w:cs="Arial"/>
          <w:color w:val="010000"/>
          <w:sz w:val="20"/>
        </w:rPr>
        <w:t>US</w:t>
      </w:r>
      <w:r w:rsidRPr="00A21FA9">
        <w:rPr>
          <w:rFonts w:ascii="Arial" w:hAnsi="Arial" w:cs="Arial"/>
          <w:color w:val="010000"/>
          <w:sz w:val="20"/>
        </w:rPr>
        <w:t>, etc.</w:t>
      </w:r>
    </w:p>
    <w:p w14:paraId="0CEF32B9" w14:textId="77777777" w:rsidR="00707D85" w:rsidRPr="00A21FA9" w:rsidRDefault="00556CCD" w:rsidP="00A97504">
      <w:pPr>
        <w:numPr>
          <w:ilvl w:val="0"/>
          <w:numId w:val="1"/>
        </w:numPr>
        <w:pBdr>
          <w:top w:val="nil"/>
          <w:left w:val="nil"/>
          <w:bottom w:val="nil"/>
          <w:right w:val="nil"/>
          <w:between w:val="nil"/>
        </w:pBdr>
        <w:tabs>
          <w:tab w:val="left" w:pos="432"/>
          <w:tab w:val="left" w:pos="477"/>
        </w:tabs>
        <w:spacing w:after="120" w:line="360" w:lineRule="auto"/>
        <w:jc w:val="both"/>
        <w:rPr>
          <w:rFonts w:ascii="Arial" w:eastAsia="Arial" w:hAnsi="Arial" w:cs="Arial"/>
          <w:color w:val="010000"/>
          <w:sz w:val="20"/>
          <w:szCs w:val="20"/>
        </w:rPr>
      </w:pPr>
      <w:r w:rsidRPr="00A21FA9">
        <w:rPr>
          <w:rFonts w:ascii="Arial" w:hAnsi="Arial" w:cs="Arial"/>
          <w:color w:val="010000"/>
          <w:sz w:val="20"/>
        </w:rPr>
        <w:t xml:space="preserve">Cooperate with the Sales Company to continue developing high-end product lines such as </w:t>
      </w:r>
      <w:proofErr w:type="spellStart"/>
      <w:r w:rsidRPr="00A21FA9">
        <w:rPr>
          <w:rFonts w:ascii="Arial" w:hAnsi="Arial" w:cs="Arial"/>
          <w:color w:val="010000"/>
          <w:sz w:val="20"/>
        </w:rPr>
        <w:t>Eurotile</w:t>
      </w:r>
      <w:proofErr w:type="spellEnd"/>
      <w:r w:rsidRPr="00A21FA9">
        <w:rPr>
          <w:rFonts w:ascii="Arial" w:hAnsi="Arial" w:cs="Arial"/>
          <w:color w:val="010000"/>
          <w:sz w:val="20"/>
        </w:rPr>
        <w:t xml:space="preserve">, </w:t>
      </w:r>
      <w:proofErr w:type="spellStart"/>
      <w:r w:rsidRPr="00A21FA9">
        <w:rPr>
          <w:rFonts w:ascii="Arial" w:hAnsi="Arial" w:cs="Arial"/>
          <w:color w:val="010000"/>
          <w:sz w:val="20"/>
        </w:rPr>
        <w:t>Colorbody</w:t>
      </w:r>
      <w:proofErr w:type="spellEnd"/>
      <w:r w:rsidRPr="00A21FA9">
        <w:rPr>
          <w:rFonts w:ascii="Arial" w:hAnsi="Arial" w:cs="Arial"/>
          <w:color w:val="010000"/>
          <w:sz w:val="20"/>
        </w:rPr>
        <w:t xml:space="preserve">, Outdoor, Signature and sintered </w:t>
      </w:r>
      <w:proofErr w:type="spellStart"/>
      <w:r w:rsidRPr="00A21FA9">
        <w:rPr>
          <w:rFonts w:ascii="Arial" w:hAnsi="Arial" w:cs="Arial"/>
          <w:color w:val="010000"/>
          <w:sz w:val="20"/>
        </w:rPr>
        <w:t>Vasta</w:t>
      </w:r>
      <w:proofErr w:type="spellEnd"/>
      <w:r w:rsidRPr="00A21FA9">
        <w:rPr>
          <w:rFonts w:ascii="Arial" w:hAnsi="Arial" w:cs="Arial"/>
          <w:color w:val="010000"/>
          <w:sz w:val="20"/>
        </w:rPr>
        <w:t xml:space="preserve"> Stone products with a variety of product designs.</w:t>
      </w:r>
    </w:p>
    <w:p w14:paraId="4F79927C" w14:textId="77777777" w:rsidR="00707D85" w:rsidRPr="00A21FA9" w:rsidRDefault="00556CCD" w:rsidP="00A97504">
      <w:pPr>
        <w:numPr>
          <w:ilvl w:val="0"/>
          <w:numId w:val="1"/>
        </w:num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A21FA9">
        <w:rPr>
          <w:rFonts w:ascii="Arial" w:hAnsi="Arial" w:cs="Arial"/>
          <w:color w:val="010000"/>
          <w:sz w:val="20"/>
        </w:rPr>
        <w:t>Strengthen the Export Department and export sales regulations.</w:t>
      </w:r>
    </w:p>
    <w:p w14:paraId="05F5907E" w14:textId="77777777" w:rsidR="00707D85" w:rsidRPr="00A21FA9" w:rsidRDefault="00556CCD" w:rsidP="00A97504">
      <w:pPr>
        <w:keepNext/>
        <w:numPr>
          <w:ilvl w:val="1"/>
          <w:numId w:val="2"/>
        </w:numPr>
        <w:pBdr>
          <w:top w:val="nil"/>
          <w:left w:val="nil"/>
          <w:bottom w:val="nil"/>
          <w:right w:val="nil"/>
          <w:between w:val="nil"/>
        </w:pBdr>
        <w:tabs>
          <w:tab w:val="left" w:pos="432"/>
          <w:tab w:val="left" w:pos="725"/>
        </w:tabs>
        <w:spacing w:after="120" w:line="360" w:lineRule="auto"/>
        <w:jc w:val="both"/>
        <w:rPr>
          <w:rFonts w:ascii="Arial" w:eastAsia="Arial" w:hAnsi="Arial" w:cs="Arial"/>
          <w:color w:val="010000"/>
          <w:sz w:val="20"/>
          <w:szCs w:val="20"/>
        </w:rPr>
      </w:pPr>
      <w:r w:rsidRPr="00A21FA9">
        <w:rPr>
          <w:rFonts w:ascii="Arial" w:hAnsi="Arial" w:cs="Arial"/>
          <w:color w:val="010000"/>
          <w:sz w:val="20"/>
        </w:rPr>
        <w:t>Financial work:</w:t>
      </w:r>
    </w:p>
    <w:p w14:paraId="38B4E566" w14:textId="6F1913DE" w:rsidR="00707D85" w:rsidRPr="00A21FA9" w:rsidRDefault="00556CCD" w:rsidP="00A97504">
      <w:pPr>
        <w:numPr>
          <w:ilvl w:val="0"/>
          <w:numId w:val="1"/>
        </w:num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A21FA9">
        <w:rPr>
          <w:rFonts w:ascii="Arial" w:hAnsi="Arial" w:cs="Arial"/>
          <w:color w:val="010000"/>
          <w:sz w:val="20"/>
        </w:rPr>
        <w:t xml:space="preserve">Seek capital sources with </w:t>
      </w:r>
      <w:r w:rsidR="00F117DB" w:rsidRPr="00A21FA9">
        <w:rPr>
          <w:rFonts w:ascii="Arial" w:hAnsi="Arial" w:cs="Arial"/>
          <w:color w:val="010000"/>
          <w:sz w:val="20"/>
        </w:rPr>
        <w:t>low-interest</w:t>
      </w:r>
      <w:r w:rsidRPr="00A21FA9">
        <w:rPr>
          <w:rFonts w:ascii="Arial" w:hAnsi="Arial" w:cs="Arial"/>
          <w:color w:val="010000"/>
          <w:sz w:val="20"/>
        </w:rPr>
        <w:t xml:space="preserve"> rate to </w:t>
      </w:r>
      <w:r w:rsidR="004D49F0">
        <w:rPr>
          <w:rFonts w:ascii="Arial" w:hAnsi="Arial" w:cs="Arial"/>
          <w:color w:val="010000"/>
          <w:sz w:val="20"/>
        </w:rPr>
        <w:t>cut</w:t>
      </w:r>
      <w:r w:rsidRPr="00A21FA9">
        <w:rPr>
          <w:rFonts w:ascii="Arial" w:hAnsi="Arial" w:cs="Arial"/>
          <w:color w:val="010000"/>
          <w:sz w:val="20"/>
        </w:rPr>
        <w:t xml:space="preserve"> financial expenses</w:t>
      </w:r>
      <w:bookmarkStart w:id="1" w:name="_GoBack"/>
      <w:bookmarkEnd w:id="1"/>
      <w:r w:rsidRPr="00A21FA9">
        <w:rPr>
          <w:rFonts w:ascii="Arial" w:hAnsi="Arial" w:cs="Arial"/>
          <w:color w:val="010000"/>
          <w:sz w:val="20"/>
        </w:rPr>
        <w:t>;</w:t>
      </w:r>
    </w:p>
    <w:p w14:paraId="0ED159AB" w14:textId="77777777" w:rsidR="00707D85" w:rsidRPr="00A21FA9" w:rsidRDefault="00556CCD" w:rsidP="00A97504">
      <w:pPr>
        <w:numPr>
          <w:ilvl w:val="0"/>
          <w:numId w:val="1"/>
        </w:num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A21FA9">
        <w:rPr>
          <w:rFonts w:ascii="Arial" w:hAnsi="Arial" w:cs="Arial"/>
          <w:color w:val="010000"/>
          <w:sz w:val="20"/>
        </w:rPr>
        <w:t>Ensure capital sources for production and business activities;</w:t>
      </w:r>
    </w:p>
    <w:p w14:paraId="10699FE9" w14:textId="77777777" w:rsidR="00707D85" w:rsidRPr="00A21FA9" w:rsidRDefault="00556CCD" w:rsidP="00A97504">
      <w:pPr>
        <w:numPr>
          <w:ilvl w:val="0"/>
          <w:numId w:val="1"/>
        </w:num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A21FA9">
        <w:rPr>
          <w:rFonts w:ascii="Arial" w:hAnsi="Arial" w:cs="Arial"/>
          <w:color w:val="010000"/>
          <w:sz w:val="20"/>
        </w:rPr>
        <w:t>Stick to the proposed profit target.</w:t>
      </w:r>
    </w:p>
    <w:p w14:paraId="3F285642" w14:textId="77777777" w:rsidR="00707D85" w:rsidRPr="00A21FA9" w:rsidRDefault="00556CCD" w:rsidP="00A97504">
      <w:pPr>
        <w:keepNext/>
        <w:numPr>
          <w:ilvl w:val="1"/>
          <w:numId w:val="2"/>
        </w:numPr>
        <w:pBdr>
          <w:top w:val="nil"/>
          <w:left w:val="nil"/>
          <w:bottom w:val="nil"/>
          <w:right w:val="nil"/>
          <w:between w:val="nil"/>
        </w:pBdr>
        <w:tabs>
          <w:tab w:val="left" w:pos="432"/>
          <w:tab w:val="left" w:pos="725"/>
        </w:tabs>
        <w:spacing w:after="120" w:line="360" w:lineRule="auto"/>
        <w:jc w:val="both"/>
        <w:rPr>
          <w:rFonts w:ascii="Arial" w:eastAsia="Arial" w:hAnsi="Arial" w:cs="Arial"/>
          <w:color w:val="010000"/>
          <w:sz w:val="20"/>
          <w:szCs w:val="20"/>
        </w:rPr>
      </w:pPr>
      <w:r w:rsidRPr="00A21FA9">
        <w:rPr>
          <w:rFonts w:ascii="Arial" w:hAnsi="Arial" w:cs="Arial"/>
          <w:color w:val="010000"/>
          <w:sz w:val="20"/>
        </w:rPr>
        <w:lastRenderedPageBreak/>
        <w:t>Investment:</w:t>
      </w:r>
    </w:p>
    <w:p w14:paraId="0981E6B1" w14:textId="77777777" w:rsidR="00707D85" w:rsidRPr="00A21FA9" w:rsidRDefault="00556CCD" w:rsidP="00A97504">
      <w:pPr>
        <w:numPr>
          <w:ilvl w:val="0"/>
          <w:numId w:val="1"/>
        </w:numPr>
        <w:pBdr>
          <w:top w:val="nil"/>
          <w:left w:val="nil"/>
          <w:bottom w:val="nil"/>
          <w:right w:val="nil"/>
          <w:between w:val="nil"/>
        </w:pBdr>
        <w:tabs>
          <w:tab w:val="left" w:pos="432"/>
          <w:tab w:val="left" w:pos="502"/>
        </w:tabs>
        <w:spacing w:after="120" w:line="360" w:lineRule="auto"/>
        <w:jc w:val="both"/>
        <w:rPr>
          <w:rFonts w:ascii="Arial" w:eastAsia="Arial" w:hAnsi="Arial" w:cs="Arial"/>
          <w:color w:val="010000"/>
          <w:sz w:val="20"/>
          <w:szCs w:val="20"/>
        </w:rPr>
      </w:pPr>
      <w:r w:rsidRPr="00A21FA9">
        <w:rPr>
          <w:rFonts w:ascii="Arial" w:hAnsi="Arial" w:cs="Arial"/>
          <w:color w:val="010000"/>
          <w:sz w:val="20"/>
        </w:rPr>
        <w:t xml:space="preserve">Implement the Investment Project titled "Additional investment in bone-grain spreader trucks installed for the production line of sintered stone products at </w:t>
      </w:r>
      <w:proofErr w:type="spellStart"/>
      <w:r w:rsidRPr="00A21FA9">
        <w:rPr>
          <w:rFonts w:ascii="Arial" w:hAnsi="Arial" w:cs="Arial"/>
          <w:color w:val="010000"/>
          <w:sz w:val="20"/>
        </w:rPr>
        <w:t>Viglacera</w:t>
      </w:r>
      <w:proofErr w:type="spellEnd"/>
      <w:r w:rsidRPr="00A21FA9">
        <w:rPr>
          <w:rFonts w:ascii="Arial" w:hAnsi="Arial" w:cs="Arial"/>
          <w:color w:val="010000"/>
          <w:sz w:val="20"/>
        </w:rPr>
        <w:t xml:space="preserve"> </w:t>
      </w:r>
      <w:proofErr w:type="spellStart"/>
      <w:r w:rsidRPr="00A21FA9">
        <w:rPr>
          <w:rFonts w:ascii="Arial" w:hAnsi="Arial" w:cs="Arial"/>
          <w:color w:val="010000"/>
          <w:sz w:val="20"/>
        </w:rPr>
        <w:t>Eurotile</w:t>
      </w:r>
      <w:proofErr w:type="spellEnd"/>
      <w:r w:rsidRPr="00A21FA9">
        <w:rPr>
          <w:rFonts w:ascii="Arial" w:hAnsi="Arial" w:cs="Arial"/>
          <w:color w:val="010000"/>
          <w:sz w:val="20"/>
        </w:rPr>
        <w:t xml:space="preserve"> Tile Factory".</w:t>
      </w:r>
    </w:p>
    <w:p w14:paraId="577BB711" w14:textId="77777777" w:rsidR="00707D85" w:rsidRPr="00A21FA9" w:rsidRDefault="00556CCD" w:rsidP="00A97504">
      <w:pPr>
        <w:keepNext/>
        <w:numPr>
          <w:ilvl w:val="1"/>
          <w:numId w:val="2"/>
        </w:numPr>
        <w:pBdr>
          <w:top w:val="nil"/>
          <w:left w:val="nil"/>
          <w:bottom w:val="nil"/>
          <w:right w:val="nil"/>
          <w:between w:val="nil"/>
        </w:pBdr>
        <w:tabs>
          <w:tab w:val="left" w:pos="432"/>
          <w:tab w:val="left" w:pos="725"/>
        </w:tabs>
        <w:spacing w:after="120" w:line="360" w:lineRule="auto"/>
        <w:jc w:val="both"/>
        <w:rPr>
          <w:rFonts w:ascii="Arial" w:eastAsia="Arial" w:hAnsi="Arial" w:cs="Arial"/>
          <w:color w:val="010000"/>
          <w:sz w:val="20"/>
          <w:szCs w:val="20"/>
        </w:rPr>
      </w:pPr>
      <w:r w:rsidRPr="00A21FA9">
        <w:rPr>
          <w:rFonts w:ascii="Arial" w:hAnsi="Arial" w:cs="Arial"/>
          <w:color w:val="010000"/>
          <w:sz w:val="20"/>
        </w:rPr>
        <w:t>Other work:</w:t>
      </w:r>
    </w:p>
    <w:p w14:paraId="402AEBCE" w14:textId="461C192B" w:rsidR="00707D85" w:rsidRPr="00A21FA9" w:rsidRDefault="00556CCD" w:rsidP="00A975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1FA9">
        <w:rPr>
          <w:rFonts w:ascii="Arial" w:hAnsi="Arial" w:cs="Arial"/>
          <w:color w:val="010000"/>
          <w:sz w:val="20"/>
        </w:rPr>
        <w:t>Authorize the Company</w:t>
      </w:r>
      <w:r w:rsidR="00515173" w:rsidRPr="00A21FA9">
        <w:rPr>
          <w:rFonts w:ascii="Arial" w:hAnsi="Arial" w:cs="Arial"/>
          <w:color w:val="010000"/>
          <w:sz w:val="20"/>
        </w:rPr>
        <w:t>’s</w:t>
      </w:r>
      <w:r w:rsidR="00A97504">
        <w:rPr>
          <w:rFonts w:ascii="Arial" w:hAnsi="Arial" w:cs="Arial"/>
          <w:color w:val="010000"/>
          <w:sz w:val="20"/>
        </w:rPr>
        <w:t xml:space="preserve"> Managing Director</w:t>
      </w:r>
      <w:r w:rsidRPr="00A21FA9">
        <w:rPr>
          <w:rFonts w:ascii="Arial" w:hAnsi="Arial" w:cs="Arial"/>
          <w:color w:val="010000"/>
          <w:sz w:val="20"/>
        </w:rPr>
        <w:t xml:space="preserve"> to proceed with the review and assets liquidation at the two Factories to clear land for project implementation a</w:t>
      </w:r>
      <w:r w:rsidR="00A97504">
        <w:rPr>
          <w:rFonts w:ascii="Arial" w:hAnsi="Arial" w:cs="Arial"/>
          <w:color w:val="010000"/>
          <w:sz w:val="20"/>
        </w:rPr>
        <w:t xml:space="preserve">nd capital recovery in </w:t>
      </w:r>
      <w:r w:rsidRPr="00A21FA9">
        <w:rPr>
          <w:rFonts w:ascii="Arial" w:hAnsi="Arial" w:cs="Arial"/>
          <w:color w:val="010000"/>
          <w:sz w:val="20"/>
        </w:rPr>
        <w:t>compliance with the Financial Management Regulations and the Company’s Charter, ensuring production and business results according to the plan.</w:t>
      </w:r>
    </w:p>
    <w:sectPr w:rsidR="00707D85" w:rsidRPr="00A21FA9" w:rsidSect="00556CC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1365"/>
    <w:multiLevelType w:val="multilevel"/>
    <w:tmpl w:val="82128B5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4A771ED"/>
    <w:multiLevelType w:val="multilevel"/>
    <w:tmpl w:val="C4D0E8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F675D8C"/>
    <w:multiLevelType w:val="multilevel"/>
    <w:tmpl w:val="225EE3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85"/>
    <w:rsid w:val="00344DF0"/>
    <w:rsid w:val="004D49F0"/>
    <w:rsid w:val="00515173"/>
    <w:rsid w:val="00556CCD"/>
    <w:rsid w:val="00707D85"/>
    <w:rsid w:val="00A21FA9"/>
    <w:rsid w:val="00A84076"/>
    <w:rsid w:val="00A97504"/>
    <w:rsid w:val="00F1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6BD45"/>
  <w15:docId w15:val="{6630DBF5-2731-4AAD-AE7D-8CAEB31C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374A53"/>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74A5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74A5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74A53"/>
      <w:sz w:val="30"/>
      <w:szCs w:val="3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74A53"/>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color w:val="374A53"/>
    </w:rPr>
  </w:style>
  <w:style w:type="paragraph" w:customStyle="1" w:styleId="Other0">
    <w:name w:val="Other"/>
    <w:basedOn w:val="Normal"/>
    <w:link w:val="Other"/>
    <w:pPr>
      <w:spacing w:line="298" w:lineRule="auto"/>
    </w:pPr>
    <w:rPr>
      <w:rFonts w:ascii="Times New Roman" w:eastAsia="Times New Roman" w:hAnsi="Times New Roman" w:cs="Times New Roman"/>
      <w:color w:val="374A53"/>
    </w:rPr>
  </w:style>
  <w:style w:type="paragraph" w:styleId="BodyText">
    <w:name w:val="Body Text"/>
    <w:basedOn w:val="Normal"/>
    <w:link w:val="BodyTextChar"/>
    <w:qFormat/>
    <w:pPr>
      <w:spacing w:line="298" w:lineRule="auto"/>
    </w:pPr>
    <w:rPr>
      <w:rFonts w:ascii="Times New Roman" w:eastAsia="Times New Roman" w:hAnsi="Times New Roman" w:cs="Times New Roman"/>
      <w:color w:val="374A53"/>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374A53"/>
      <w:sz w:val="30"/>
      <w:szCs w:val="30"/>
    </w:rPr>
  </w:style>
  <w:style w:type="paragraph" w:customStyle="1" w:styleId="Heading21">
    <w:name w:val="Heading #2"/>
    <w:basedOn w:val="Normal"/>
    <w:link w:val="Heading20"/>
    <w:pPr>
      <w:spacing w:line="298" w:lineRule="auto"/>
      <w:ind w:firstLine="160"/>
      <w:outlineLvl w:val="1"/>
    </w:pPr>
    <w:rPr>
      <w:rFonts w:ascii="Times New Roman" w:eastAsia="Times New Roman" w:hAnsi="Times New Roman" w:cs="Times New Roman"/>
      <w:b/>
      <w:bCs/>
      <w:color w:val="374A5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5QxNGJK4VKbnZ09RIKpyF4mPzQ==">CgMxLjAyCGguZ2pkZ3hzOAByITFxRjdoQVBVYkJGd3VOaG5sRDIxZFRrekZkTVJYWFF0Vg==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2024-05-20T03:50:00Z</dcterms:created>
  <dcterms:modified xsi:type="dcterms:W3CDTF">2024-05-20T03:51:00Z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26ae443d8b153259fefb91930d6e186e6e3122d84ec439f134fc123810e1d3a7</vt:lpwstr>
  </property>
</Properties>
</file>