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C669A" w14:textId="77777777" w:rsidR="00B52677" w:rsidRPr="009E67A1" w:rsidRDefault="00B22928" w:rsidP="00633E08">
      <w:pPr>
        <w:keepNext/>
        <w:pBdr>
          <w:top w:val="nil"/>
          <w:left w:val="nil"/>
          <w:bottom w:val="nil"/>
          <w:right w:val="nil"/>
          <w:between w:val="nil"/>
        </w:pBdr>
        <w:tabs>
          <w:tab w:val="left" w:pos="284"/>
          <w:tab w:val="left" w:pos="4693"/>
        </w:tabs>
        <w:spacing w:after="120" w:line="360" w:lineRule="auto"/>
        <w:jc w:val="both"/>
        <w:rPr>
          <w:rFonts w:ascii="Arial" w:eastAsia="Arial" w:hAnsi="Arial" w:cs="Arial"/>
          <w:b/>
          <w:color w:val="010000"/>
          <w:sz w:val="20"/>
          <w:szCs w:val="22"/>
        </w:rPr>
      </w:pPr>
      <w:r w:rsidRPr="009E67A1">
        <w:rPr>
          <w:rFonts w:ascii="Arial" w:hAnsi="Arial" w:cs="Arial"/>
          <w:b/>
          <w:bCs/>
          <w:color w:val="010000"/>
          <w:sz w:val="20"/>
        </w:rPr>
        <w:t>CC4:</w:t>
      </w:r>
      <w:r w:rsidRPr="009E67A1">
        <w:rPr>
          <w:rFonts w:ascii="Arial" w:hAnsi="Arial" w:cs="Arial"/>
          <w:b/>
          <w:color w:val="010000"/>
          <w:sz w:val="20"/>
        </w:rPr>
        <w:t xml:space="preserve"> Annual General Mandate 2024</w:t>
      </w:r>
    </w:p>
    <w:p w14:paraId="1A78DCFE" w14:textId="77777777" w:rsidR="00B52677" w:rsidRPr="009E67A1" w:rsidRDefault="00B22928" w:rsidP="00633E08">
      <w:pPr>
        <w:keepNext/>
        <w:pBdr>
          <w:top w:val="nil"/>
          <w:left w:val="nil"/>
          <w:bottom w:val="nil"/>
          <w:right w:val="nil"/>
          <w:between w:val="nil"/>
        </w:pBdr>
        <w:tabs>
          <w:tab w:val="left" w:pos="284"/>
          <w:tab w:val="left" w:pos="4693"/>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On May 15, 2024, Investment and Construction Joint Stock Company No.4 announced </w:t>
      </w:r>
      <w:r w:rsidR="00CE42C4" w:rsidRPr="009E67A1">
        <w:rPr>
          <w:rFonts w:ascii="Arial" w:hAnsi="Arial" w:cs="Arial"/>
          <w:color w:val="010000"/>
          <w:sz w:val="20"/>
        </w:rPr>
        <w:t>General Mandate</w:t>
      </w:r>
      <w:r w:rsidRPr="009E67A1">
        <w:rPr>
          <w:rFonts w:ascii="Arial" w:hAnsi="Arial" w:cs="Arial"/>
          <w:color w:val="010000"/>
          <w:sz w:val="20"/>
        </w:rPr>
        <w:t xml:space="preserve"> No. 01/2024/NQ-DHDCD as follows: </w:t>
      </w:r>
    </w:p>
    <w:p w14:paraId="29C2B4D9" w14:textId="02103839"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‎‎Article 1. Approve the Report on production and business results in 2023 and </w:t>
      </w:r>
      <w:r w:rsidR="00633E08">
        <w:rPr>
          <w:rFonts w:ascii="Arial" w:hAnsi="Arial" w:cs="Arial"/>
          <w:color w:val="010000"/>
          <w:sz w:val="20"/>
        </w:rPr>
        <w:t xml:space="preserve">the </w:t>
      </w:r>
      <w:r w:rsidRPr="009E67A1">
        <w:rPr>
          <w:rFonts w:ascii="Arial" w:hAnsi="Arial" w:cs="Arial"/>
          <w:color w:val="010000"/>
          <w:sz w:val="20"/>
        </w:rPr>
        <w:t xml:space="preserve">production and business plan for 2024 of the Company’s General Manager. </w:t>
      </w:r>
    </w:p>
    <w:p w14:paraId="2DA0A1A1"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‎‎Article 2. Approve the Report on activities in 2023 and operating orientation for 2024 of the Company’s Board of </w:t>
      </w:r>
      <w:r w:rsidR="00CE42C4" w:rsidRPr="009E67A1">
        <w:rPr>
          <w:rFonts w:ascii="Arial" w:hAnsi="Arial" w:cs="Arial"/>
          <w:color w:val="010000"/>
          <w:sz w:val="20"/>
        </w:rPr>
        <w:t>Directors</w:t>
      </w:r>
      <w:r w:rsidRPr="009E67A1">
        <w:rPr>
          <w:rFonts w:ascii="Arial" w:hAnsi="Arial" w:cs="Arial"/>
          <w:color w:val="010000"/>
          <w:sz w:val="20"/>
        </w:rPr>
        <w:t xml:space="preserve">. </w:t>
      </w:r>
    </w:p>
    <w:p w14:paraId="06656B31" w14:textId="77777777" w:rsidR="00B52677" w:rsidRPr="009E67A1" w:rsidRDefault="00B22928" w:rsidP="00633E08">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2"/>
        </w:rPr>
      </w:pPr>
      <w:r w:rsidRPr="009E67A1">
        <w:rPr>
          <w:rFonts w:ascii="Arial" w:hAnsi="Arial" w:cs="Arial"/>
          <w:color w:val="010000"/>
          <w:sz w:val="20"/>
        </w:rPr>
        <w:t>Some business result targets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7"/>
        <w:gridCol w:w="2573"/>
        <w:gridCol w:w="1207"/>
        <w:gridCol w:w="1463"/>
        <w:gridCol w:w="1614"/>
        <w:gridCol w:w="1575"/>
      </w:tblGrid>
      <w:tr w:rsidR="00B52677" w:rsidRPr="009E67A1" w14:paraId="3AAAD2C5" w14:textId="77777777" w:rsidTr="00094D18">
        <w:tc>
          <w:tcPr>
            <w:tcW w:w="325" w:type="pct"/>
            <w:shd w:val="clear" w:color="auto" w:fill="auto"/>
            <w:tcMar>
              <w:top w:w="0" w:type="dxa"/>
              <w:bottom w:w="0" w:type="dxa"/>
            </w:tcMar>
            <w:vAlign w:val="center"/>
          </w:tcPr>
          <w:p w14:paraId="7BCDF823"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No.</w:t>
            </w:r>
          </w:p>
        </w:tc>
        <w:tc>
          <w:tcPr>
            <w:tcW w:w="1426" w:type="pct"/>
            <w:shd w:val="clear" w:color="auto" w:fill="auto"/>
            <w:tcMar>
              <w:top w:w="0" w:type="dxa"/>
              <w:bottom w:w="0" w:type="dxa"/>
            </w:tcMar>
            <w:vAlign w:val="center"/>
          </w:tcPr>
          <w:p w14:paraId="27B53F8B"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Targets</w:t>
            </w:r>
          </w:p>
        </w:tc>
        <w:tc>
          <w:tcPr>
            <w:tcW w:w="669" w:type="pct"/>
            <w:shd w:val="clear" w:color="auto" w:fill="auto"/>
            <w:tcMar>
              <w:top w:w="0" w:type="dxa"/>
              <w:bottom w:w="0" w:type="dxa"/>
            </w:tcMar>
            <w:vAlign w:val="center"/>
          </w:tcPr>
          <w:p w14:paraId="6F536F77"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Unit</w:t>
            </w:r>
          </w:p>
        </w:tc>
        <w:tc>
          <w:tcPr>
            <w:tcW w:w="811" w:type="pct"/>
            <w:shd w:val="clear" w:color="auto" w:fill="auto"/>
            <w:tcMar>
              <w:top w:w="0" w:type="dxa"/>
              <w:bottom w:w="0" w:type="dxa"/>
            </w:tcMar>
            <w:vAlign w:val="center"/>
          </w:tcPr>
          <w:p w14:paraId="599530F7" w14:textId="1FF7EB2B"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Plan 2023</w:t>
            </w:r>
          </w:p>
        </w:tc>
        <w:tc>
          <w:tcPr>
            <w:tcW w:w="895" w:type="pct"/>
            <w:shd w:val="clear" w:color="auto" w:fill="auto"/>
            <w:tcMar>
              <w:top w:w="0" w:type="dxa"/>
              <w:bottom w:w="0" w:type="dxa"/>
            </w:tcMar>
            <w:vAlign w:val="center"/>
          </w:tcPr>
          <w:p w14:paraId="315B00C7" w14:textId="55840775"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Results 2023</w:t>
            </w:r>
          </w:p>
        </w:tc>
        <w:tc>
          <w:tcPr>
            <w:tcW w:w="873" w:type="pct"/>
            <w:shd w:val="clear" w:color="auto" w:fill="auto"/>
            <w:tcMar>
              <w:top w:w="0" w:type="dxa"/>
              <w:bottom w:w="0" w:type="dxa"/>
            </w:tcMar>
            <w:vAlign w:val="center"/>
          </w:tcPr>
          <w:p w14:paraId="0B399236"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Results compared to Plan (%)</w:t>
            </w:r>
          </w:p>
        </w:tc>
      </w:tr>
      <w:tr w:rsidR="00B52677" w:rsidRPr="009E67A1" w14:paraId="2ED01FC2" w14:textId="77777777" w:rsidTr="00094D18">
        <w:tc>
          <w:tcPr>
            <w:tcW w:w="325" w:type="pct"/>
            <w:shd w:val="clear" w:color="auto" w:fill="auto"/>
            <w:tcMar>
              <w:top w:w="0" w:type="dxa"/>
              <w:bottom w:w="0" w:type="dxa"/>
            </w:tcMar>
            <w:vAlign w:val="center"/>
          </w:tcPr>
          <w:p w14:paraId="4664AF66"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w:t>
            </w:r>
          </w:p>
        </w:tc>
        <w:tc>
          <w:tcPr>
            <w:tcW w:w="1426" w:type="pct"/>
            <w:shd w:val="clear" w:color="auto" w:fill="auto"/>
            <w:tcMar>
              <w:top w:w="0" w:type="dxa"/>
              <w:bottom w:w="0" w:type="dxa"/>
            </w:tcMar>
            <w:vAlign w:val="center"/>
          </w:tcPr>
          <w:p w14:paraId="1FA9C21C"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Total revenue</w:t>
            </w:r>
          </w:p>
        </w:tc>
        <w:tc>
          <w:tcPr>
            <w:tcW w:w="669" w:type="pct"/>
            <w:shd w:val="clear" w:color="auto" w:fill="auto"/>
            <w:tcMar>
              <w:top w:w="0" w:type="dxa"/>
              <w:bottom w:w="0" w:type="dxa"/>
            </w:tcMar>
            <w:vAlign w:val="center"/>
          </w:tcPr>
          <w:p w14:paraId="4E886EC8"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Billion VND</w:t>
            </w:r>
          </w:p>
        </w:tc>
        <w:tc>
          <w:tcPr>
            <w:tcW w:w="811" w:type="pct"/>
            <w:shd w:val="clear" w:color="auto" w:fill="auto"/>
            <w:tcMar>
              <w:top w:w="0" w:type="dxa"/>
              <w:bottom w:w="0" w:type="dxa"/>
            </w:tcMar>
            <w:vAlign w:val="center"/>
          </w:tcPr>
          <w:p w14:paraId="630EDADA"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1,170.4</w:t>
            </w:r>
          </w:p>
        </w:tc>
        <w:tc>
          <w:tcPr>
            <w:tcW w:w="895" w:type="pct"/>
            <w:shd w:val="clear" w:color="auto" w:fill="auto"/>
            <w:tcMar>
              <w:top w:w="0" w:type="dxa"/>
              <w:bottom w:w="0" w:type="dxa"/>
            </w:tcMar>
            <w:vAlign w:val="center"/>
          </w:tcPr>
          <w:p w14:paraId="4BEEC22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1,413.4</w:t>
            </w:r>
          </w:p>
        </w:tc>
        <w:tc>
          <w:tcPr>
            <w:tcW w:w="873" w:type="pct"/>
            <w:shd w:val="clear" w:color="auto" w:fill="auto"/>
            <w:tcMar>
              <w:top w:w="0" w:type="dxa"/>
              <w:bottom w:w="0" w:type="dxa"/>
            </w:tcMar>
            <w:vAlign w:val="center"/>
          </w:tcPr>
          <w:p w14:paraId="219A12CE"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120.8%</w:t>
            </w:r>
          </w:p>
        </w:tc>
      </w:tr>
      <w:tr w:rsidR="00B52677" w:rsidRPr="009E67A1" w14:paraId="572F1153" w14:textId="77777777" w:rsidTr="00094D18">
        <w:tc>
          <w:tcPr>
            <w:tcW w:w="325" w:type="pct"/>
            <w:shd w:val="clear" w:color="auto" w:fill="auto"/>
            <w:tcMar>
              <w:top w:w="0" w:type="dxa"/>
              <w:bottom w:w="0" w:type="dxa"/>
            </w:tcMar>
            <w:vAlign w:val="center"/>
          </w:tcPr>
          <w:p w14:paraId="015F34CA"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2</w:t>
            </w:r>
          </w:p>
        </w:tc>
        <w:tc>
          <w:tcPr>
            <w:tcW w:w="1426" w:type="pct"/>
            <w:shd w:val="clear" w:color="auto" w:fill="auto"/>
            <w:tcMar>
              <w:top w:w="0" w:type="dxa"/>
              <w:bottom w:w="0" w:type="dxa"/>
            </w:tcMar>
            <w:vAlign w:val="center"/>
          </w:tcPr>
          <w:p w14:paraId="3C78DEA8"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Profit before tax</w:t>
            </w:r>
          </w:p>
        </w:tc>
        <w:tc>
          <w:tcPr>
            <w:tcW w:w="669" w:type="pct"/>
            <w:shd w:val="clear" w:color="auto" w:fill="auto"/>
            <w:tcMar>
              <w:top w:w="0" w:type="dxa"/>
              <w:bottom w:w="0" w:type="dxa"/>
            </w:tcMar>
            <w:vAlign w:val="center"/>
          </w:tcPr>
          <w:p w14:paraId="0402B27F"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Billion VND</w:t>
            </w:r>
          </w:p>
        </w:tc>
        <w:tc>
          <w:tcPr>
            <w:tcW w:w="811" w:type="pct"/>
            <w:shd w:val="clear" w:color="auto" w:fill="auto"/>
            <w:tcMar>
              <w:top w:w="0" w:type="dxa"/>
              <w:bottom w:w="0" w:type="dxa"/>
            </w:tcMar>
            <w:vAlign w:val="center"/>
          </w:tcPr>
          <w:p w14:paraId="76865A72"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50.1</w:t>
            </w:r>
          </w:p>
        </w:tc>
        <w:tc>
          <w:tcPr>
            <w:tcW w:w="895" w:type="pct"/>
            <w:shd w:val="clear" w:color="auto" w:fill="auto"/>
            <w:tcMar>
              <w:top w:w="0" w:type="dxa"/>
              <w:bottom w:w="0" w:type="dxa"/>
            </w:tcMar>
            <w:vAlign w:val="center"/>
          </w:tcPr>
          <w:p w14:paraId="1B48BCFB"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71.3</w:t>
            </w:r>
          </w:p>
        </w:tc>
        <w:tc>
          <w:tcPr>
            <w:tcW w:w="873" w:type="pct"/>
            <w:shd w:val="clear" w:color="auto" w:fill="auto"/>
            <w:tcMar>
              <w:top w:w="0" w:type="dxa"/>
              <w:bottom w:w="0" w:type="dxa"/>
            </w:tcMar>
            <w:vAlign w:val="center"/>
          </w:tcPr>
          <w:p w14:paraId="50869C82"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142.3%</w:t>
            </w:r>
          </w:p>
        </w:tc>
      </w:tr>
      <w:tr w:rsidR="00B52677" w:rsidRPr="009E67A1" w14:paraId="63E9171D" w14:textId="77777777" w:rsidTr="00094D18">
        <w:tc>
          <w:tcPr>
            <w:tcW w:w="325" w:type="pct"/>
            <w:shd w:val="clear" w:color="auto" w:fill="auto"/>
            <w:tcMar>
              <w:top w:w="0" w:type="dxa"/>
              <w:bottom w:w="0" w:type="dxa"/>
            </w:tcMar>
            <w:vAlign w:val="center"/>
          </w:tcPr>
          <w:p w14:paraId="43B87EC9"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3</w:t>
            </w:r>
          </w:p>
        </w:tc>
        <w:tc>
          <w:tcPr>
            <w:tcW w:w="1426" w:type="pct"/>
            <w:shd w:val="clear" w:color="auto" w:fill="auto"/>
            <w:tcMar>
              <w:top w:w="0" w:type="dxa"/>
              <w:bottom w:w="0" w:type="dxa"/>
            </w:tcMar>
            <w:vAlign w:val="center"/>
          </w:tcPr>
          <w:p w14:paraId="17E4B28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Profit after tax</w:t>
            </w:r>
          </w:p>
        </w:tc>
        <w:tc>
          <w:tcPr>
            <w:tcW w:w="669" w:type="pct"/>
            <w:shd w:val="clear" w:color="auto" w:fill="auto"/>
            <w:tcMar>
              <w:top w:w="0" w:type="dxa"/>
              <w:bottom w:w="0" w:type="dxa"/>
            </w:tcMar>
            <w:vAlign w:val="center"/>
          </w:tcPr>
          <w:p w14:paraId="3BA084EF"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Billion VND</w:t>
            </w:r>
          </w:p>
        </w:tc>
        <w:tc>
          <w:tcPr>
            <w:tcW w:w="811" w:type="pct"/>
            <w:shd w:val="clear" w:color="auto" w:fill="auto"/>
            <w:tcMar>
              <w:top w:w="0" w:type="dxa"/>
              <w:bottom w:w="0" w:type="dxa"/>
            </w:tcMar>
            <w:vAlign w:val="center"/>
          </w:tcPr>
          <w:p w14:paraId="181893A7"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38.3</w:t>
            </w:r>
          </w:p>
        </w:tc>
        <w:tc>
          <w:tcPr>
            <w:tcW w:w="895" w:type="pct"/>
            <w:shd w:val="clear" w:color="auto" w:fill="auto"/>
            <w:tcMar>
              <w:top w:w="0" w:type="dxa"/>
              <w:bottom w:w="0" w:type="dxa"/>
            </w:tcMar>
            <w:vAlign w:val="center"/>
          </w:tcPr>
          <w:p w14:paraId="01E52472"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55.5</w:t>
            </w:r>
          </w:p>
        </w:tc>
        <w:tc>
          <w:tcPr>
            <w:tcW w:w="873" w:type="pct"/>
            <w:shd w:val="clear" w:color="auto" w:fill="auto"/>
            <w:tcMar>
              <w:top w:w="0" w:type="dxa"/>
              <w:bottom w:w="0" w:type="dxa"/>
            </w:tcMar>
            <w:vAlign w:val="center"/>
          </w:tcPr>
          <w:p w14:paraId="4EB3D46C"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145.1%</w:t>
            </w:r>
          </w:p>
        </w:tc>
      </w:tr>
    </w:tbl>
    <w:p w14:paraId="0028A940" w14:textId="77777777" w:rsidR="00B52677" w:rsidRPr="009E67A1" w:rsidRDefault="00B22928" w:rsidP="00633E08">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2"/>
        </w:rPr>
      </w:pPr>
      <w:r w:rsidRPr="009E67A1">
        <w:rPr>
          <w:rFonts w:ascii="Arial" w:hAnsi="Arial" w:cs="Arial"/>
          <w:color w:val="010000"/>
          <w:sz w:val="20"/>
        </w:rPr>
        <w:t>Some targets of the 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6"/>
        <w:gridCol w:w="3460"/>
        <w:gridCol w:w="1353"/>
        <w:gridCol w:w="1806"/>
        <w:gridCol w:w="1804"/>
      </w:tblGrid>
      <w:tr w:rsidR="00B52677" w:rsidRPr="009E67A1" w14:paraId="7C4D3485" w14:textId="77777777" w:rsidTr="00094D18">
        <w:tc>
          <w:tcPr>
            <w:tcW w:w="330" w:type="pct"/>
            <w:shd w:val="clear" w:color="auto" w:fill="auto"/>
            <w:tcMar>
              <w:top w:w="0" w:type="dxa"/>
              <w:bottom w:w="0" w:type="dxa"/>
            </w:tcMar>
            <w:vAlign w:val="center"/>
          </w:tcPr>
          <w:p w14:paraId="32F1BD7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No.</w:t>
            </w:r>
          </w:p>
        </w:tc>
        <w:tc>
          <w:tcPr>
            <w:tcW w:w="1918" w:type="pct"/>
            <w:shd w:val="clear" w:color="auto" w:fill="auto"/>
            <w:tcMar>
              <w:top w:w="0" w:type="dxa"/>
              <w:bottom w:w="0" w:type="dxa"/>
            </w:tcMar>
            <w:vAlign w:val="center"/>
          </w:tcPr>
          <w:p w14:paraId="7EFD4C93"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Main targets</w:t>
            </w:r>
          </w:p>
        </w:tc>
        <w:tc>
          <w:tcPr>
            <w:tcW w:w="750" w:type="pct"/>
            <w:shd w:val="clear" w:color="auto" w:fill="auto"/>
            <w:tcMar>
              <w:top w:w="0" w:type="dxa"/>
              <w:bottom w:w="0" w:type="dxa"/>
            </w:tcMar>
            <w:vAlign w:val="center"/>
          </w:tcPr>
          <w:p w14:paraId="566F984A"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Unit</w:t>
            </w:r>
          </w:p>
        </w:tc>
        <w:tc>
          <w:tcPr>
            <w:tcW w:w="1001" w:type="pct"/>
            <w:shd w:val="clear" w:color="auto" w:fill="auto"/>
            <w:tcMar>
              <w:top w:w="0" w:type="dxa"/>
              <w:bottom w:w="0" w:type="dxa"/>
            </w:tcMar>
            <w:vAlign w:val="center"/>
          </w:tcPr>
          <w:p w14:paraId="12323683"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Value</w:t>
            </w:r>
          </w:p>
        </w:tc>
        <w:tc>
          <w:tcPr>
            <w:tcW w:w="1000" w:type="pct"/>
            <w:shd w:val="clear" w:color="auto" w:fill="auto"/>
            <w:tcMar>
              <w:top w:w="0" w:type="dxa"/>
              <w:bottom w:w="0" w:type="dxa"/>
            </w:tcMar>
            <w:vAlign w:val="center"/>
          </w:tcPr>
          <w:p w14:paraId="68EA3702" w14:textId="293F47B0"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Plan 2024/Results 2023</w:t>
            </w:r>
          </w:p>
        </w:tc>
      </w:tr>
      <w:tr w:rsidR="00B52677" w:rsidRPr="009E67A1" w14:paraId="2118DDDB" w14:textId="77777777" w:rsidTr="00094D18">
        <w:tc>
          <w:tcPr>
            <w:tcW w:w="330" w:type="pct"/>
            <w:shd w:val="clear" w:color="auto" w:fill="auto"/>
            <w:tcMar>
              <w:top w:w="0" w:type="dxa"/>
              <w:bottom w:w="0" w:type="dxa"/>
            </w:tcMar>
            <w:vAlign w:val="center"/>
          </w:tcPr>
          <w:p w14:paraId="38E4C8A1"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w:t>
            </w:r>
          </w:p>
        </w:tc>
        <w:tc>
          <w:tcPr>
            <w:tcW w:w="1918" w:type="pct"/>
            <w:shd w:val="clear" w:color="auto" w:fill="auto"/>
            <w:tcMar>
              <w:top w:w="0" w:type="dxa"/>
              <w:bottom w:w="0" w:type="dxa"/>
            </w:tcMar>
            <w:vAlign w:val="center"/>
          </w:tcPr>
          <w:p w14:paraId="3BF19B22"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Total consolidated revenue</w:t>
            </w:r>
          </w:p>
        </w:tc>
        <w:tc>
          <w:tcPr>
            <w:tcW w:w="750" w:type="pct"/>
            <w:shd w:val="clear" w:color="auto" w:fill="auto"/>
            <w:tcMar>
              <w:top w:w="0" w:type="dxa"/>
              <w:bottom w:w="0" w:type="dxa"/>
            </w:tcMar>
            <w:vAlign w:val="center"/>
          </w:tcPr>
          <w:p w14:paraId="3ED94E9A"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Billion VND</w:t>
            </w:r>
          </w:p>
        </w:tc>
        <w:tc>
          <w:tcPr>
            <w:tcW w:w="1001" w:type="pct"/>
            <w:shd w:val="clear" w:color="auto" w:fill="auto"/>
            <w:tcMar>
              <w:top w:w="0" w:type="dxa"/>
              <w:bottom w:w="0" w:type="dxa"/>
            </w:tcMar>
            <w:vAlign w:val="center"/>
          </w:tcPr>
          <w:p w14:paraId="31A94F53"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1,201.8</w:t>
            </w:r>
          </w:p>
        </w:tc>
        <w:tc>
          <w:tcPr>
            <w:tcW w:w="1000" w:type="pct"/>
            <w:shd w:val="clear" w:color="auto" w:fill="auto"/>
            <w:tcMar>
              <w:top w:w="0" w:type="dxa"/>
              <w:bottom w:w="0" w:type="dxa"/>
            </w:tcMar>
            <w:vAlign w:val="center"/>
          </w:tcPr>
          <w:p w14:paraId="4754F3C6"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85.0%</w:t>
            </w:r>
          </w:p>
        </w:tc>
      </w:tr>
      <w:tr w:rsidR="00B52677" w:rsidRPr="009E67A1" w14:paraId="0A733ADA" w14:textId="77777777" w:rsidTr="00094D18">
        <w:tc>
          <w:tcPr>
            <w:tcW w:w="330" w:type="pct"/>
            <w:shd w:val="clear" w:color="auto" w:fill="auto"/>
            <w:tcMar>
              <w:top w:w="0" w:type="dxa"/>
              <w:bottom w:w="0" w:type="dxa"/>
            </w:tcMar>
            <w:vAlign w:val="center"/>
          </w:tcPr>
          <w:p w14:paraId="5203D5C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2</w:t>
            </w:r>
          </w:p>
        </w:tc>
        <w:tc>
          <w:tcPr>
            <w:tcW w:w="1918" w:type="pct"/>
            <w:shd w:val="clear" w:color="auto" w:fill="auto"/>
            <w:tcMar>
              <w:top w:w="0" w:type="dxa"/>
              <w:bottom w:w="0" w:type="dxa"/>
            </w:tcMar>
            <w:vAlign w:val="center"/>
          </w:tcPr>
          <w:p w14:paraId="782C139E"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Consolidated profit before tax</w:t>
            </w:r>
          </w:p>
        </w:tc>
        <w:tc>
          <w:tcPr>
            <w:tcW w:w="750" w:type="pct"/>
            <w:shd w:val="clear" w:color="auto" w:fill="auto"/>
            <w:tcMar>
              <w:top w:w="0" w:type="dxa"/>
              <w:bottom w:w="0" w:type="dxa"/>
            </w:tcMar>
            <w:vAlign w:val="center"/>
          </w:tcPr>
          <w:p w14:paraId="4DF991AE"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Billion VND</w:t>
            </w:r>
          </w:p>
        </w:tc>
        <w:tc>
          <w:tcPr>
            <w:tcW w:w="1001" w:type="pct"/>
            <w:shd w:val="clear" w:color="auto" w:fill="auto"/>
            <w:tcMar>
              <w:top w:w="0" w:type="dxa"/>
              <w:bottom w:w="0" w:type="dxa"/>
            </w:tcMar>
            <w:vAlign w:val="center"/>
          </w:tcPr>
          <w:p w14:paraId="7A568EA8"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45.1</w:t>
            </w:r>
          </w:p>
        </w:tc>
        <w:tc>
          <w:tcPr>
            <w:tcW w:w="1000" w:type="pct"/>
            <w:shd w:val="clear" w:color="auto" w:fill="auto"/>
            <w:tcMar>
              <w:top w:w="0" w:type="dxa"/>
              <w:bottom w:w="0" w:type="dxa"/>
            </w:tcMar>
            <w:vAlign w:val="center"/>
          </w:tcPr>
          <w:p w14:paraId="65ABCA0D"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63.2%</w:t>
            </w:r>
          </w:p>
        </w:tc>
      </w:tr>
      <w:tr w:rsidR="00B52677" w:rsidRPr="009E67A1" w14:paraId="7917F6E8" w14:textId="77777777" w:rsidTr="00094D18">
        <w:tc>
          <w:tcPr>
            <w:tcW w:w="330" w:type="pct"/>
            <w:shd w:val="clear" w:color="auto" w:fill="auto"/>
            <w:tcMar>
              <w:top w:w="0" w:type="dxa"/>
              <w:bottom w:w="0" w:type="dxa"/>
            </w:tcMar>
            <w:vAlign w:val="center"/>
          </w:tcPr>
          <w:p w14:paraId="01A586C7"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3</w:t>
            </w:r>
          </w:p>
        </w:tc>
        <w:tc>
          <w:tcPr>
            <w:tcW w:w="1918" w:type="pct"/>
            <w:shd w:val="clear" w:color="auto" w:fill="auto"/>
            <w:tcMar>
              <w:top w:w="0" w:type="dxa"/>
              <w:bottom w:w="0" w:type="dxa"/>
            </w:tcMar>
            <w:vAlign w:val="center"/>
          </w:tcPr>
          <w:p w14:paraId="46304201"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Consolidated profit after tax</w:t>
            </w:r>
          </w:p>
        </w:tc>
        <w:tc>
          <w:tcPr>
            <w:tcW w:w="750" w:type="pct"/>
            <w:shd w:val="clear" w:color="auto" w:fill="auto"/>
            <w:tcMar>
              <w:top w:w="0" w:type="dxa"/>
              <w:bottom w:w="0" w:type="dxa"/>
            </w:tcMar>
            <w:vAlign w:val="center"/>
          </w:tcPr>
          <w:p w14:paraId="446105AB"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Billion VND</w:t>
            </w:r>
          </w:p>
        </w:tc>
        <w:tc>
          <w:tcPr>
            <w:tcW w:w="1001" w:type="pct"/>
            <w:shd w:val="clear" w:color="auto" w:fill="auto"/>
            <w:tcMar>
              <w:top w:w="0" w:type="dxa"/>
              <w:bottom w:w="0" w:type="dxa"/>
            </w:tcMar>
            <w:vAlign w:val="center"/>
          </w:tcPr>
          <w:p w14:paraId="5923463D"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33.2</w:t>
            </w:r>
          </w:p>
        </w:tc>
        <w:tc>
          <w:tcPr>
            <w:tcW w:w="1000" w:type="pct"/>
            <w:shd w:val="clear" w:color="auto" w:fill="auto"/>
            <w:tcMar>
              <w:top w:w="0" w:type="dxa"/>
              <w:bottom w:w="0" w:type="dxa"/>
            </w:tcMar>
            <w:vAlign w:val="center"/>
          </w:tcPr>
          <w:p w14:paraId="394A793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59.8%</w:t>
            </w:r>
          </w:p>
        </w:tc>
      </w:tr>
    </w:tbl>
    <w:p w14:paraId="276825A2" w14:textId="77777777" w:rsidR="00B52677" w:rsidRPr="009E67A1" w:rsidRDefault="00B22928" w:rsidP="00633E08">
      <w:pPr>
        <w:numPr>
          <w:ilvl w:val="0"/>
          <w:numId w:val="9"/>
        </w:numPr>
        <w:pBdr>
          <w:top w:val="nil"/>
          <w:left w:val="nil"/>
          <w:bottom w:val="nil"/>
          <w:right w:val="nil"/>
          <w:between w:val="nil"/>
        </w:pBdr>
        <w:tabs>
          <w:tab w:val="left" w:pos="284"/>
          <w:tab w:val="left" w:pos="891"/>
        </w:tabs>
        <w:spacing w:after="120" w:line="360" w:lineRule="auto"/>
        <w:jc w:val="both"/>
        <w:rPr>
          <w:rFonts w:ascii="Arial" w:eastAsia="Arial" w:hAnsi="Arial" w:cs="Arial"/>
          <w:color w:val="010000"/>
          <w:sz w:val="20"/>
          <w:szCs w:val="22"/>
        </w:rPr>
      </w:pPr>
      <w:r w:rsidRPr="009E67A1">
        <w:rPr>
          <w:rFonts w:ascii="Arial" w:hAnsi="Arial" w:cs="Arial"/>
          <w:color w:val="010000"/>
          <w:sz w:val="20"/>
        </w:rPr>
        <w:t>Authoriz</w:t>
      </w:r>
      <w:r w:rsidR="00CE42C4" w:rsidRPr="009E67A1">
        <w:rPr>
          <w:rFonts w:ascii="Arial" w:hAnsi="Arial" w:cs="Arial"/>
          <w:color w:val="010000"/>
          <w:sz w:val="20"/>
        </w:rPr>
        <w:t>e</w:t>
      </w:r>
      <w:r w:rsidRPr="009E67A1">
        <w:rPr>
          <w:rFonts w:ascii="Arial" w:hAnsi="Arial" w:cs="Arial"/>
          <w:color w:val="010000"/>
          <w:sz w:val="20"/>
        </w:rPr>
        <w:t xml:space="preserve"> for </w:t>
      </w:r>
      <w:r w:rsidR="00CE42C4" w:rsidRPr="009E67A1">
        <w:rPr>
          <w:rFonts w:ascii="Arial" w:hAnsi="Arial" w:cs="Arial"/>
          <w:color w:val="010000"/>
          <w:sz w:val="20"/>
        </w:rPr>
        <w:t xml:space="preserve">the </w:t>
      </w:r>
      <w:r w:rsidRPr="009E67A1">
        <w:rPr>
          <w:rFonts w:ascii="Arial" w:hAnsi="Arial" w:cs="Arial"/>
          <w:color w:val="010000"/>
          <w:sz w:val="20"/>
        </w:rPr>
        <w:t xml:space="preserve">Company's Board of Directors </w:t>
      </w:r>
    </w:p>
    <w:p w14:paraId="61787B5C"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Based on the practical production and business activities of the Company and its member companies in 2024 as well as the market fluctuations, the Board of Directors is authorized to proactively adjust the targets of the Company’s business plan for 2024.</w:t>
      </w:r>
    </w:p>
    <w:p w14:paraId="66216B82"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The Board of Directors is also responsible for reporting and explaining to shareholders the above contents at the next Annual General Meeting of Shareholders.</w:t>
      </w:r>
    </w:p>
    <w:p w14:paraId="2B265A6E"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‎‎Article 3. Approve the Report on activities of the Company's Supervisory Board.</w:t>
      </w:r>
    </w:p>
    <w:p w14:paraId="7967FFA1"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‎‎Article 4. Approve the Audited Financial Statements 2023.</w:t>
      </w:r>
    </w:p>
    <w:p w14:paraId="25C6C33E" w14:textId="1C258C4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‎‎Article 5. Approve the distribution of profit after tax in 2023, the plan </w:t>
      </w:r>
      <w:r w:rsidR="00633E08">
        <w:rPr>
          <w:rFonts w:ascii="Arial" w:hAnsi="Arial" w:cs="Arial"/>
          <w:color w:val="010000"/>
          <w:sz w:val="20"/>
        </w:rPr>
        <w:t>for</w:t>
      </w:r>
      <w:r w:rsidRPr="009E67A1">
        <w:rPr>
          <w:rFonts w:ascii="Arial" w:hAnsi="Arial" w:cs="Arial"/>
          <w:color w:val="010000"/>
          <w:sz w:val="20"/>
        </w:rPr>
        <w:t xml:space="preserve"> </w:t>
      </w:r>
      <w:r w:rsidR="00633E08">
        <w:rPr>
          <w:rFonts w:ascii="Arial" w:hAnsi="Arial" w:cs="Arial"/>
          <w:color w:val="010000"/>
          <w:sz w:val="20"/>
        </w:rPr>
        <w:t xml:space="preserve">the </w:t>
      </w:r>
      <w:r w:rsidRPr="009E67A1">
        <w:rPr>
          <w:rFonts w:ascii="Arial" w:hAnsi="Arial" w:cs="Arial"/>
          <w:color w:val="010000"/>
          <w:sz w:val="20"/>
        </w:rPr>
        <w:t>distribution of profit after tax for 2024</w:t>
      </w:r>
    </w:p>
    <w:p w14:paraId="553CEFD3" w14:textId="77777777" w:rsidR="00B52677" w:rsidRPr="00633E08" w:rsidRDefault="00B22928" w:rsidP="00633E08">
      <w:pPr>
        <w:numPr>
          <w:ilvl w:val="0"/>
          <w:numId w:val="10"/>
        </w:numPr>
        <w:pBdr>
          <w:top w:val="nil"/>
          <w:left w:val="nil"/>
          <w:bottom w:val="nil"/>
          <w:right w:val="nil"/>
          <w:between w:val="nil"/>
        </w:pBdr>
        <w:tabs>
          <w:tab w:val="left" w:pos="284"/>
          <w:tab w:val="left" w:pos="870"/>
        </w:tabs>
        <w:spacing w:after="120" w:line="360" w:lineRule="auto"/>
        <w:jc w:val="both"/>
        <w:rPr>
          <w:rFonts w:ascii="Arial" w:eastAsia="Arial" w:hAnsi="Arial" w:cs="Arial"/>
          <w:color w:val="010000"/>
          <w:sz w:val="20"/>
          <w:szCs w:val="22"/>
        </w:rPr>
      </w:pPr>
      <w:r w:rsidRPr="009E67A1">
        <w:rPr>
          <w:rFonts w:ascii="Arial" w:hAnsi="Arial" w:cs="Arial"/>
          <w:color w:val="010000"/>
          <w:sz w:val="20"/>
        </w:rPr>
        <w:t>Report on production and business results in 2023</w:t>
      </w:r>
    </w:p>
    <w:p w14:paraId="67834759" w14:textId="77777777" w:rsidR="00633E08" w:rsidRPr="009E67A1" w:rsidRDefault="00633E08" w:rsidP="00633E08">
      <w:pPr>
        <w:pBdr>
          <w:top w:val="nil"/>
          <w:left w:val="nil"/>
          <w:bottom w:val="nil"/>
          <w:right w:val="nil"/>
          <w:between w:val="nil"/>
        </w:pBdr>
        <w:tabs>
          <w:tab w:val="left" w:pos="284"/>
          <w:tab w:val="left" w:pos="870"/>
        </w:tabs>
        <w:spacing w:after="120" w:line="360" w:lineRule="auto"/>
        <w:jc w:val="both"/>
        <w:rPr>
          <w:rFonts w:ascii="Arial" w:eastAsia="Arial" w:hAnsi="Arial" w:cs="Arial"/>
          <w:color w:val="010000"/>
          <w:sz w:val="20"/>
          <w:szCs w:val="22"/>
        </w:rP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
        <w:gridCol w:w="6360"/>
        <w:gridCol w:w="2123"/>
      </w:tblGrid>
      <w:tr w:rsidR="00B52677" w:rsidRPr="009E67A1" w14:paraId="159E61CD" w14:textId="77777777" w:rsidTr="00633E08">
        <w:tc>
          <w:tcPr>
            <w:tcW w:w="297" w:type="pct"/>
            <w:shd w:val="clear" w:color="auto" w:fill="auto"/>
            <w:tcMar>
              <w:top w:w="0" w:type="dxa"/>
              <w:bottom w:w="0" w:type="dxa"/>
            </w:tcMar>
            <w:vAlign w:val="center"/>
          </w:tcPr>
          <w:p w14:paraId="1DC9446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lastRenderedPageBreak/>
              <w:t>No.</w:t>
            </w:r>
          </w:p>
        </w:tc>
        <w:tc>
          <w:tcPr>
            <w:tcW w:w="3526" w:type="pct"/>
            <w:shd w:val="clear" w:color="auto" w:fill="auto"/>
            <w:tcMar>
              <w:top w:w="0" w:type="dxa"/>
              <w:bottom w:w="0" w:type="dxa"/>
            </w:tcMar>
            <w:vAlign w:val="center"/>
          </w:tcPr>
          <w:p w14:paraId="4D50DEBB"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Targets</w:t>
            </w:r>
          </w:p>
        </w:tc>
        <w:tc>
          <w:tcPr>
            <w:tcW w:w="1177" w:type="pct"/>
            <w:shd w:val="clear" w:color="auto" w:fill="auto"/>
            <w:tcMar>
              <w:top w:w="0" w:type="dxa"/>
              <w:bottom w:w="0" w:type="dxa"/>
            </w:tcMar>
            <w:vAlign w:val="center"/>
          </w:tcPr>
          <w:p w14:paraId="327D8D31"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Amount (VND)</w:t>
            </w:r>
          </w:p>
        </w:tc>
      </w:tr>
      <w:tr w:rsidR="00B52677" w:rsidRPr="009E67A1" w14:paraId="7BF0F4EA" w14:textId="77777777" w:rsidTr="00633E08">
        <w:trPr>
          <w:trHeight w:val="413"/>
        </w:trPr>
        <w:tc>
          <w:tcPr>
            <w:tcW w:w="297" w:type="pct"/>
            <w:shd w:val="clear" w:color="auto" w:fill="auto"/>
            <w:tcMar>
              <w:top w:w="0" w:type="dxa"/>
              <w:bottom w:w="0" w:type="dxa"/>
            </w:tcMar>
            <w:vAlign w:val="center"/>
          </w:tcPr>
          <w:p w14:paraId="781AB682"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w:t>
            </w:r>
          </w:p>
        </w:tc>
        <w:tc>
          <w:tcPr>
            <w:tcW w:w="3526" w:type="pct"/>
            <w:shd w:val="clear" w:color="auto" w:fill="auto"/>
            <w:tcMar>
              <w:top w:w="0" w:type="dxa"/>
              <w:bottom w:w="0" w:type="dxa"/>
            </w:tcMar>
            <w:vAlign w:val="center"/>
          </w:tcPr>
          <w:p w14:paraId="33D88C8B"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Figures in the Holding</w:t>
            </w:r>
            <w:r w:rsidR="00094D18" w:rsidRPr="009E67A1">
              <w:rPr>
                <w:rFonts w:ascii="Arial" w:hAnsi="Arial" w:cs="Arial"/>
                <w:color w:val="010000"/>
                <w:sz w:val="20"/>
              </w:rPr>
              <w:t xml:space="preserve"> </w:t>
            </w:r>
            <w:r w:rsidRPr="009E67A1">
              <w:rPr>
                <w:rFonts w:ascii="Arial" w:hAnsi="Arial" w:cs="Arial"/>
                <w:color w:val="010000"/>
                <w:sz w:val="20"/>
              </w:rPr>
              <w:t>Company's Separate Financial Statements</w:t>
            </w:r>
          </w:p>
        </w:tc>
        <w:tc>
          <w:tcPr>
            <w:tcW w:w="1177" w:type="pct"/>
            <w:shd w:val="clear" w:color="auto" w:fill="auto"/>
            <w:tcMar>
              <w:top w:w="0" w:type="dxa"/>
              <w:bottom w:w="0" w:type="dxa"/>
            </w:tcMar>
            <w:vAlign w:val="center"/>
          </w:tcPr>
          <w:p w14:paraId="159478F4" w14:textId="77777777" w:rsidR="00B52677" w:rsidRPr="009E67A1" w:rsidRDefault="00B52677" w:rsidP="00633E08">
            <w:pPr>
              <w:tabs>
                <w:tab w:val="left" w:pos="284"/>
              </w:tabs>
              <w:spacing w:after="120" w:line="360" w:lineRule="auto"/>
              <w:jc w:val="both"/>
              <w:rPr>
                <w:rFonts w:ascii="Arial" w:eastAsia="Arial" w:hAnsi="Arial" w:cs="Arial"/>
                <w:color w:val="010000"/>
                <w:sz w:val="20"/>
                <w:szCs w:val="22"/>
              </w:rPr>
            </w:pPr>
          </w:p>
        </w:tc>
      </w:tr>
      <w:tr w:rsidR="00B52677" w:rsidRPr="009E67A1" w14:paraId="1B84F639" w14:textId="77777777" w:rsidTr="00633E08">
        <w:tc>
          <w:tcPr>
            <w:tcW w:w="297" w:type="pct"/>
            <w:shd w:val="clear" w:color="auto" w:fill="auto"/>
            <w:tcMar>
              <w:top w:w="0" w:type="dxa"/>
              <w:bottom w:w="0" w:type="dxa"/>
            </w:tcMar>
            <w:vAlign w:val="center"/>
          </w:tcPr>
          <w:p w14:paraId="65F0B1C3"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w:t>
            </w:r>
          </w:p>
        </w:tc>
        <w:tc>
          <w:tcPr>
            <w:tcW w:w="3526" w:type="pct"/>
            <w:shd w:val="clear" w:color="auto" w:fill="auto"/>
            <w:tcMar>
              <w:top w:w="0" w:type="dxa"/>
              <w:bottom w:w="0" w:type="dxa"/>
            </w:tcMar>
            <w:vAlign w:val="center"/>
          </w:tcPr>
          <w:p w14:paraId="5DE0705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Accumulated retained profit until the end of 2022</w:t>
            </w:r>
          </w:p>
        </w:tc>
        <w:tc>
          <w:tcPr>
            <w:tcW w:w="1177" w:type="pct"/>
            <w:shd w:val="clear" w:color="auto" w:fill="auto"/>
            <w:tcMar>
              <w:top w:w="0" w:type="dxa"/>
              <w:bottom w:w="0" w:type="dxa"/>
            </w:tcMar>
            <w:vAlign w:val="center"/>
          </w:tcPr>
          <w:p w14:paraId="06418B2D"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43,845,346,580</w:t>
            </w:r>
          </w:p>
        </w:tc>
      </w:tr>
      <w:tr w:rsidR="00B52677" w:rsidRPr="009E67A1" w14:paraId="3DDE6287" w14:textId="77777777" w:rsidTr="00633E08">
        <w:tc>
          <w:tcPr>
            <w:tcW w:w="297" w:type="pct"/>
            <w:shd w:val="clear" w:color="auto" w:fill="auto"/>
            <w:tcMar>
              <w:top w:w="0" w:type="dxa"/>
              <w:bottom w:w="0" w:type="dxa"/>
            </w:tcMar>
            <w:vAlign w:val="center"/>
          </w:tcPr>
          <w:p w14:paraId="56E69703"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2</w:t>
            </w:r>
          </w:p>
        </w:tc>
        <w:tc>
          <w:tcPr>
            <w:tcW w:w="3526" w:type="pct"/>
            <w:shd w:val="clear" w:color="auto" w:fill="auto"/>
            <w:tcMar>
              <w:top w:w="0" w:type="dxa"/>
              <w:bottom w:w="0" w:type="dxa"/>
            </w:tcMar>
            <w:vAlign w:val="center"/>
          </w:tcPr>
          <w:p w14:paraId="673C31AB"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Profit after tax in 2023</w:t>
            </w:r>
          </w:p>
        </w:tc>
        <w:tc>
          <w:tcPr>
            <w:tcW w:w="1177" w:type="pct"/>
            <w:shd w:val="clear" w:color="auto" w:fill="auto"/>
            <w:tcMar>
              <w:top w:w="0" w:type="dxa"/>
              <w:bottom w:w="0" w:type="dxa"/>
            </w:tcMar>
            <w:vAlign w:val="center"/>
          </w:tcPr>
          <w:p w14:paraId="0B4A5653"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27,821,930,757</w:t>
            </w:r>
          </w:p>
        </w:tc>
      </w:tr>
      <w:tr w:rsidR="00B52677" w:rsidRPr="009E67A1" w14:paraId="0853E292" w14:textId="77777777" w:rsidTr="00633E08">
        <w:tc>
          <w:tcPr>
            <w:tcW w:w="297" w:type="pct"/>
            <w:shd w:val="clear" w:color="auto" w:fill="auto"/>
            <w:tcMar>
              <w:top w:w="0" w:type="dxa"/>
              <w:bottom w:w="0" w:type="dxa"/>
            </w:tcMar>
            <w:vAlign w:val="center"/>
          </w:tcPr>
          <w:p w14:paraId="1776AD9C"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3</w:t>
            </w:r>
          </w:p>
        </w:tc>
        <w:tc>
          <w:tcPr>
            <w:tcW w:w="3526" w:type="pct"/>
            <w:shd w:val="clear" w:color="auto" w:fill="auto"/>
            <w:tcMar>
              <w:top w:w="0" w:type="dxa"/>
              <w:bottom w:w="0" w:type="dxa"/>
            </w:tcMar>
            <w:vAlign w:val="center"/>
          </w:tcPr>
          <w:p w14:paraId="3EEF07F9"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Appropriation from bonus and welfare funds to reward the Executive Board in 2023</w:t>
            </w:r>
          </w:p>
        </w:tc>
        <w:tc>
          <w:tcPr>
            <w:tcW w:w="1177" w:type="pct"/>
            <w:shd w:val="clear" w:color="auto" w:fill="auto"/>
            <w:tcMar>
              <w:top w:w="0" w:type="dxa"/>
              <w:bottom w:w="0" w:type="dxa"/>
            </w:tcMar>
            <w:vAlign w:val="center"/>
          </w:tcPr>
          <w:p w14:paraId="7311AE2D"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465,000,000</w:t>
            </w:r>
          </w:p>
        </w:tc>
      </w:tr>
      <w:tr w:rsidR="00B52677" w:rsidRPr="009E67A1" w14:paraId="10E61875" w14:textId="77777777" w:rsidTr="00633E08">
        <w:tc>
          <w:tcPr>
            <w:tcW w:w="297" w:type="pct"/>
            <w:shd w:val="clear" w:color="auto" w:fill="auto"/>
            <w:tcMar>
              <w:top w:w="0" w:type="dxa"/>
              <w:bottom w:w="0" w:type="dxa"/>
            </w:tcMar>
            <w:vAlign w:val="center"/>
          </w:tcPr>
          <w:p w14:paraId="1527B603"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4</w:t>
            </w:r>
          </w:p>
        </w:tc>
        <w:tc>
          <w:tcPr>
            <w:tcW w:w="3526" w:type="pct"/>
            <w:shd w:val="clear" w:color="auto" w:fill="auto"/>
            <w:tcMar>
              <w:top w:w="0" w:type="dxa"/>
              <w:bottom w:w="0" w:type="dxa"/>
            </w:tcMar>
            <w:vAlign w:val="center"/>
          </w:tcPr>
          <w:p w14:paraId="2F7E42B2"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Remuneration for the Executive Board of Directors in 2023</w:t>
            </w:r>
          </w:p>
        </w:tc>
        <w:tc>
          <w:tcPr>
            <w:tcW w:w="1177" w:type="pct"/>
            <w:shd w:val="clear" w:color="auto" w:fill="auto"/>
            <w:tcMar>
              <w:top w:w="0" w:type="dxa"/>
              <w:bottom w:w="0" w:type="dxa"/>
            </w:tcMar>
            <w:vAlign w:val="center"/>
          </w:tcPr>
          <w:p w14:paraId="19D16395"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108,000,000</w:t>
            </w:r>
          </w:p>
        </w:tc>
      </w:tr>
      <w:tr w:rsidR="00B52677" w:rsidRPr="009E67A1" w14:paraId="0D2BC68D" w14:textId="77777777" w:rsidTr="00633E08">
        <w:tc>
          <w:tcPr>
            <w:tcW w:w="297" w:type="pct"/>
            <w:shd w:val="clear" w:color="auto" w:fill="auto"/>
            <w:tcMar>
              <w:top w:w="0" w:type="dxa"/>
              <w:bottom w:w="0" w:type="dxa"/>
            </w:tcMar>
            <w:vAlign w:val="center"/>
          </w:tcPr>
          <w:p w14:paraId="6645055C"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5</w:t>
            </w:r>
          </w:p>
        </w:tc>
        <w:tc>
          <w:tcPr>
            <w:tcW w:w="3526" w:type="pct"/>
            <w:shd w:val="clear" w:color="auto" w:fill="auto"/>
            <w:tcMar>
              <w:top w:w="0" w:type="dxa"/>
              <w:bottom w:w="0" w:type="dxa"/>
            </w:tcMar>
            <w:vAlign w:val="center"/>
          </w:tcPr>
          <w:p w14:paraId="00EB97DB"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Accumulated undistributed profit after tax until December 31, 2023 (5=1+2-3-4)</w:t>
            </w:r>
          </w:p>
        </w:tc>
        <w:tc>
          <w:tcPr>
            <w:tcW w:w="1177" w:type="pct"/>
            <w:shd w:val="clear" w:color="auto" w:fill="auto"/>
            <w:tcMar>
              <w:top w:w="0" w:type="dxa"/>
              <w:bottom w:w="0" w:type="dxa"/>
            </w:tcMar>
            <w:vAlign w:val="center"/>
          </w:tcPr>
          <w:p w14:paraId="692D6294"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71,094,277,337</w:t>
            </w:r>
          </w:p>
        </w:tc>
      </w:tr>
      <w:tr w:rsidR="00B52677" w:rsidRPr="009E67A1" w14:paraId="34334B2E" w14:textId="77777777" w:rsidTr="00633E08">
        <w:tc>
          <w:tcPr>
            <w:tcW w:w="297" w:type="pct"/>
            <w:shd w:val="clear" w:color="auto" w:fill="auto"/>
            <w:tcMar>
              <w:top w:w="0" w:type="dxa"/>
              <w:bottom w:w="0" w:type="dxa"/>
            </w:tcMar>
            <w:vAlign w:val="center"/>
          </w:tcPr>
          <w:p w14:paraId="636CB4AF"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B</w:t>
            </w:r>
          </w:p>
        </w:tc>
        <w:tc>
          <w:tcPr>
            <w:tcW w:w="3526" w:type="pct"/>
            <w:shd w:val="clear" w:color="auto" w:fill="auto"/>
            <w:tcMar>
              <w:top w:w="0" w:type="dxa"/>
              <w:bottom w:w="0" w:type="dxa"/>
            </w:tcMar>
            <w:vAlign w:val="center"/>
          </w:tcPr>
          <w:p w14:paraId="5C5C96E2"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Figures in the Consolidated Financial Statements</w:t>
            </w:r>
          </w:p>
        </w:tc>
        <w:tc>
          <w:tcPr>
            <w:tcW w:w="1177" w:type="pct"/>
            <w:shd w:val="clear" w:color="auto" w:fill="auto"/>
            <w:tcMar>
              <w:top w:w="0" w:type="dxa"/>
              <w:bottom w:w="0" w:type="dxa"/>
            </w:tcMar>
            <w:vAlign w:val="center"/>
          </w:tcPr>
          <w:p w14:paraId="671538DC" w14:textId="77777777" w:rsidR="00B52677" w:rsidRPr="009E67A1" w:rsidRDefault="00B52677" w:rsidP="00633E08">
            <w:pPr>
              <w:tabs>
                <w:tab w:val="left" w:pos="284"/>
              </w:tabs>
              <w:spacing w:after="120" w:line="360" w:lineRule="auto"/>
              <w:jc w:val="both"/>
              <w:rPr>
                <w:rFonts w:ascii="Arial" w:eastAsia="Arial" w:hAnsi="Arial" w:cs="Arial"/>
                <w:color w:val="010000"/>
                <w:sz w:val="20"/>
                <w:szCs w:val="22"/>
              </w:rPr>
            </w:pPr>
          </w:p>
        </w:tc>
      </w:tr>
      <w:tr w:rsidR="00B52677" w:rsidRPr="009E67A1" w14:paraId="41FE1278" w14:textId="77777777" w:rsidTr="00633E08">
        <w:tc>
          <w:tcPr>
            <w:tcW w:w="297" w:type="pct"/>
            <w:shd w:val="clear" w:color="auto" w:fill="auto"/>
            <w:tcMar>
              <w:top w:w="0" w:type="dxa"/>
              <w:bottom w:w="0" w:type="dxa"/>
            </w:tcMar>
            <w:vAlign w:val="center"/>
          </w:tcPr>
          <w:p w14:paraId="2ED7F5D5"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w:t>
            </w:r>
          </w:p>
        </w:tc>
        <w:tc>
          <w:tcPr>
            <w:tcW w:w="3526" w:type="pct"/>
            <w:shd w:val="clear" w:color="auto" w:fill="auto"/>
            <w:tcMar>
              <w:top w:w="0" w:type="dxa"/>
              <w:bottom w:w="0" w:type="dxa"/>
            </w:tcMar>
            <w:vAlign w:val="center"/>
          </w:tcPr>
          <w:p w14:paraId="2DFEC937"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Accumulated remaining profit until the end of 2022</w:t>
            </w:r>
          </w:p>
        </w:tc>
        <w:tc>
          <w:tcPr>
            <w:tcW w:w="1177" w:type="pct"/>
            <w:shd w:val="clear" w:color="auto" w:fill="auto"/>
            <w:tcMar>
              <w:top w:w="0" w:type="dxa"/>
              <w:bottom w:w="0" w:type="dxa"/>
            </w:tcMar>
            <w:vAlign w:val="center"/>
          </w:tcPr>
          <w:p w14:paraId="227A1ED8"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37,698,291,599</w:t>
            </w:r>
          </w:p>
        </w:tc>
      </w:tr>
      <w:tr w:rsidR="00B52677" w:rsidRPr="009E67A1" w14:paraId="0117E9E6" w14:textId="77777777" w:rsidTr="00633E08">
        <w:tc>
          <w:tcPr>
            <w:tcW w:w="297" w:type="pct"/>
            <w:shd w:val="clear" w:color="auto" w:fill="auto"/>
            <w:tcMar>
              <w:top w:w="0" w:type="dxa"/>
              <w:bottom w:w="0" w:type="dxa"/>
            </w:tcMar>
            <w:vAlign w:val="center"/>
          </w:tcPr>
          <w:p w14:paraId="4B1762CE"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2</w:t>
            </w:r>
          </w:p>
        </w:tc>
        <w:tc>
          <w:tcPr>
            <w:tcW w:w="3526" w:type="pct"/>
            <w:shd w:val="clear" w:color="auto" w:fill="auto"/>
            <w:tcMar>
              <w:top w:w="0" w:type="dxa"/>
              <w:bottom w:w="0" w:type="dxa"/>
            </w:tcMar>
            <w:vAlign w:val="center"/>
          </w:tcPr>
          <w:p w14:paraId="5B36512D"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Profit after tax of the Holding Company in 2023</w:t>
            </w:r>
          </w:p>
        </w:tc>
        <w:tc>
          <w:tcPr>
            <w:tcW w:w="1177" w:type="pct"/>
            <w:shd w:val="clear" w:color="auto" w:fill="auto"/>
            <w:tcMar>
              <w:top w:w="0" w:type="dxa"/>
              <w:bottom w:w="0" w:type="dxa"/>
            </w:tcMar>
            <w:vAlign w:val="center"/>
          </w:tcPr>
          <w:p w14:paraId="4DD50B1B"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34,127,027,406</w:t>
            </w:r>
          </w:p>
        </w:tc>
      </w:tr>
      <w:tr w:rsidR="00B52677" w:rsidRPr="009E67A1" w14:paraId="6B48E429" w14:textId="77777777" w:rsidTr="00633E08">
        <w:tc>
          <w:tcPr>
            <w:tcW w:w="297" w:type="pct"/>
            <w:shd w:val="clear" w:color="auto" w:fill="auto"/>
            <w:tcMar>
              <w:top w:w="0" w:type="dxa"/>
              <w:bottom w:w="0" w:type="dxa"/>
            </w:tcMar>
            <w:vAlign w:val="center"/>
          </w:tcPr>
          <w:p w14:paraId="0D74BCED"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3</w:t>
            </w:r>
          </w:p>
        </w:tc>
        <w:tc>
          <w:tcPr>
            <w:tcW w:w="3526" w:type="pct"/>
            <w:shd w:val="clear" w:color="auto" w:fill="auto"/>
            <w:tcMar>
              <w:top w:w="0" w:type="dxa"/>
              <w:bottom w:w="0" w:type="dxa"/>
            </w:tcMar>
            <w:vAlign w:val="center"/>
          </w:tcPr>
          <w:p w14:paraId="5280958E"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Appropriation from bonus and welfare funds to reward the Executive Board in 2023</w:t>
            </w:r>
          </w:p>
        </w:tc>
        <w:tc>
          <w:tcPr>
            <w:tcW w:w="1177" w:type="pct"/>
            <w:shd w:val="clear" w:color="auto" w:fill="auto"/>
            <w:tcMar>
              <w:top w:w="0" w:type="dxa"/>
              <w:bottom w:w="0" w:type="dxa"/>
            </w:tcMar>
            <w:vAlign w:val="center"/>
          </w:tcPr>
          <w:p w14:paraId="29F65C8A"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595,050,000</w:t>
            </w:r>
          </w:p>
        </w:tc>
      </w:tr>
      <w:tr w:rsidR="00B52677" w:rsidRPr="009E67A1" w14:paraId="5C61932A" w14:textId="77777777" w:rsidTr="00633E08">
        <w:tc>
          <w:tcPr>
            <w:tcW w:w="297" w:type="pct"/>
            <w:shd w:val="clear" w:color="auto" w:fill="auto"/>
            <w:tcMar>
              <w:top w:w="0" w:type="dxa"/>
              <w:bottom w:w="0" w:type="dxa"/>
            </w:tcMar>
            <w:vAlign w:val="center"/>
          </w:tcPr>
          <w:p w14:paraId="6665E46A"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4</w:t>
            </w:r>
          </w:p>
        </w:tc>
        <w:tc>
          <w:tcPr>
            <w:tcW w:w="3526" w:type="pct"/>
            <w:shd w:val="clear" w:color="auto" w:fill="auto"/>
            <w:tcMar>
              <w:top w:w="0" w:type="dxa"/>
              <w:bottom w:w="0" w:type="dxa"/>
            </w:tcMar>
            <w:vAlign w:val="center"/>
          </w:tcPr>
          <w:p w14:paraId="6DF8A985"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Remuneration for the Executive Board of Directors in 2023</w:t>
            </w:r>
          </w:p>
        </w:tc>
        <w:tc>
          <w:tcPr>
            <w:tcW w:w="1177" w:type="pct"/>
            <w:shd w:val="clear" w:color="auto" w:fill="auto"/>
            <w:tcMar>
              <w:top w:w="0" w:type="dxa"/>
              <w:bottom w:w="0" w:type="dxa"/>
            </w:tcMar>
            <w:vAlign w:val="center"/>
          </w:tcPr>
          <w:p w14:paraId="778C4C8C"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284,858,629</w:t>
            </w:r>
          </w:p>
        </w:tc>
      </w:tr>
      <w:tr w:rsidR="00B52677" w:rsidRPr="009E67A1" w14:paraId="6468A3C6" w14:textId="77777777" w:rsidTr="00633E08">
        <w:tc>
          <w:tcPr>
            <w:tcW w:w="297" w:type="pct"/>
            <w:shd w:val="clear" w:color="auto" w:fill="auto"/>
            <w:tcMar>
              <w:top w:w="0" w:type="dxa"/>
              <w:bottom w:w="0" w:type="dxa"/>
            </w:tcMar>
            <w:vAlign w:val="center"/>
          </w:tcPr>
          <w:p w14:paraId="26579949"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5</w:t>
            </w:r>
          </w:p>
        </w:tc>
        <w:tc>
          <w:tcPr>
            <w:tcW w:w="3526" w:type="pct"/>
            <w:shd w:val="clear" w:color="auto" w:fill="auto"/>
            <w:tcMar>
              <w:top w:w="0" w:type="dxa"/>
              <w:bottom w:w="0" w:type="dxa"/>
            </w:tcMar>
            <w:vAlign w:val="center"/>
          </w:tcPr>
          <w:p w14:paraId="09A055FF"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Accumulated undistributed profit after tax until December 31, 2023 (5=1+2-3-4)</w:t>
            </w:r>
          </w:p>
        </w:tc>
        <w:tc>
          <w:tcPr>
            <w:tcW w:w="1177" w:type="pct"/>
            <w:shd w:val="clear" w:color="auto" w:fill="auto"/>
            <w:tcMar>
              <w:top w:w="0" w:type="dxa"/>
              <w:bottom w:w="0" w:type="dxa"/>
            </w:tcMar>
            <w:vAlign w:val="center"/>
          </w:tcPr>
          <w:p w14:paraId="670FCE42"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70,945,410,376</w:t>
            </w:r>
          </w:p>
        </w:tc>
      </w:tr>
    </w:tbl>
    <w:p w14:paraId="1D5FCF0E" w14:textId="77777777" w:rsidR="00B52677" w:rsidRPr="009E67A1" w:rsidRDefault="00B22928" w:rsidP="00633E08">
      <w:pPr>
        <w:numPr>
          <w:ilvl w:val="0"/>
          <w:numId w:val="10"/>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Approve the profit distribution plan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
        <w:gridCol w:w="6263"/>
        <w:gridCol w:w="2220"/>
      </w:tblGrid>
      <w:tr w:rsidR="00B52677" w:rsidRPr="009E67A1" w14:paraId="64E0D46F" w14:textId="77777777" w:rsidTr="00633E08">
        <w:tc>
          <w:tcPr>
            <w:tcW w:w="297" w:type="pct"/>
            <w:shd w:val="clear" w:color="auto" w:fill="auto"/>
            <w:tcMar>
              <w:top w:w="0" w:type="dxa"/>
              <w:bottom w:w="0" w:type="dxa"/>
            </w:tcMar>
            <w:vAlign w:val="center"/>
          </w:tcPr>
          <w:p w14:paraId="7F9703AE"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No.</w:t>
            </w:r>
          </w:p>
        </w:tc>
        <w:tc>
          <w:tcPr>
            <w:tcW w:w="3472" w:type="pct"/>
            <w:shd w:val="clear" w:color="auto" w:fill="auto"/>
            <w:tcMar>
              <w:top w:w="0" w:type="dxa"/>
              <w:bottom w:w="0" w:type="dxa"/>
            </w:tcMar>
            <w:vAlign w:val="center"/>
          </w:tcPr>
          <w:p w14:paraId="5F7521DF"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Targets</w:t>
            </w:r>
          </w:p>
        </w:tc>
        <w:tc>
          <w:tcPr>
            <w:tcW w:w="1232" w:type="pct"/>
            <w:shd w:val="clear" w:color="auto" w:fill="auto"/>
            <w:tcMar>
              <w:top w:w="0" w:type="dxa"/>
              <w:bottom w:w="0" w:type="dxa"/>
            </w:tcMar>
            <w:vAlign w:val="center"/>
          </w:tcPr>
          <w:p w14:paraId="2BA1450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Amount (VND)</w:t>
            </w:r>
          </w:p>
        </w:tc>
      </w:tr>
      <w:tr w:rsidR="00B52677" w:rsidRPr="009E67A1" w14:paraId="2AF4FDE6" w14:textId="77777777" w:rsidTr="00633E08">
        <w:tc>
          <w:tcPr>
            <w:tcW w:w="297" w:type="pct"/>
            <w:shd w:val="clear" w:color="auto" w:fill="auto"/>
            <w:tcMar>
              <w:top w:w="0" w:type="dxa"/>
              <w:bottom w:w="0" w:type="dxa"/>
            </w:tcMar>
            <w:vAlign w:val="center"/>
          </w:tcPr>
          <w:p w14:paraId="20429273"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w:t>
            </w:r>
          </w:p>
        </w:tc>
        <w:tc>
          <w:tcPr>
            <w:tcW w:w="3472" w:type="pct"/>
            <w:shd w:val="clear" w:color="auto" w:fill="auto"/>
            <w:tcMar>
              <w:top w:w="0" w:type="dxa"/>
              <w:bottom w:w="0" w:type="dxa"/>
            </w:tcMar>
            <w:vAlign w:val="center"/>
          </w:tcPr>
          <w:p w14:paraId="34F8FD6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Dividends in 2023 (calculated as 5% of the charter capital worth VND 640 billion) </w:t>
            </w:r>
          </w:p>
        </w:tc>
        <w:tc>
          <w:tcPr>
            <w:tcW w:w="1232" w:type="pct"/>
            <w:shd w:val="clear" w:color="auto" w:fill="auto"/>
            <w:tcMar>
              <w:top w:w="0" w:type="dxa"/>
              <w:bottom w:w="0" w:type="dxa"/>
            </w:tcMar>
            <w:vAlign w:val="center"/>
          </w:tcPr>
          <w:p w14:paraId="4F1D1D2C"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32,000,000,000</w:t>
            </w:r>
          </w:p>
        </w:tc>
      </w:tr>
      <w:tr w:rsidR="00B52677" w:rsidRPr="009E67A1" w14:paraId="5EE27816" w14:textId="77777777" w:rsidTr="00633E08">
        <w:tc>
          <w:tcPr>
            <w:tcW w:w="297" w:type="pct"/>
            <w:shd w:val="clear" w:color="auto" w:fill="auto"/>
            <w:tcMar>
              <w:top w:w="0" w:type="dxa"/>
              <w:bottom w:w="0" w:type="dxa"/>
            </w:tcMar>
            <w:vAlign w:val="center"/>
          </w:tcPr>
          <w:p w14:paraId="13BD1D06"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2</w:t>
            </w:r>
          </w:p>
        </w:tc>
        <w:tc>
          <w:tcPr>
            <w:tcW w:w="3472" w:type="pct"/>
            <w:shd w:val="clear" w:color="auto" w:fill="auto"/>
            <w:tcMar>
              <w:top w:w="0" w:type="dxa"/>
              <w:bottom w:w="0" w:type="dxa"/>
            </w:tcMar>
            <w:vAlign w:val="center"/>
          </w:tcPr>
          <w:p w14:paraId="590F390F"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Retained profit transferred to 2024 in the Separate Financial Statements (2.2=1.A.5-1.1) </w:t>
            </w:r>
          </w:p>
        </w:tc>
        <w:tc>
          <w:tcPr>
            <w:tcW w:w="1232" w:type="pct"/>
            <w:shd w:val="clear" w:color="auto" w:fill="auto"/>
            <w:tcMar>
              <w:top w:w="0" w:type="dxa"/>
              <w:bottom w:w="0" w:type="dxa"/>
            </w:tcMar>
            <w:vAlign w:val="center"/>
          </w:tcPr>
          <w:p w14:paraId="380CD209"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39,094,277,337</w:t>
            </w:r>
          </w:p>
        </w:tc>
      </w:tr>
      <w:tr w:rsidR="00B52677" w:rsidRPr="009E67A1" w14:paraId="4CFA58D6" w14:textId="77777777" w:rsidTr="00633E08">
        <w:tc>
          <w:tcPr>
            <w:tcW w:w="297" w:type="pct"/>
            <w:shd w:val="clear" w:color="auto" w:fill="auto"/>
            <w:tcMar>
              <w:top w:w="0" w:type="dxa"/>
              <w:bottom w:w="0" w:type="dxa"/>
            </w:tcMar>
            <w:vAlign w:val="center"/>
          </w:tcPr>
          <w:p w14:paraId="3125D583"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3</w:t>
            </w:r>
          </w:p>
        </w:tc>
        <w:tc>
          <w:tcPr>
            <w:tcW w:w="3472" w:type="pct"/>
            <w:shd w:val="clear" w:color="auto" w:fill="auto"/>
            <w:tcMar>
              <w:top w:w="0" w:type="dxa"/>
              <w:bottom w:w="0" w:type="dxa"/>
            </w:tcMar>
            <w:vAlign w:val="center"/>
          </w:tcPr>
          <w:p w14:paraId="137CBD3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Retained profit transferred to 2024 in the Separate Financial Statements (2.3=1.B.5-1.1)</w:t>
            </w:r>
          </w:p>
        </w:tc>
        <w:tc>
          <w:tcPr>
            <w:tcW w:w="1232" w:type="pct"/>
            <w:shd w:val="clear" w:color="auto" w:fill="auto"/>
            <w:tcMar>
              <w:top w:w="0" w:type="dxa"/>
              <w:bottom w:w="0" w:type="dxa"/>
            </w:tcMar>
            <w:vAlign w:val="center"/>
          </w:tcPr>
          <w:p w14:paraId="33728F9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38,945,410,376</w:t>
            </w:r>
          </w:p>
        </w:tc>
      </w:tr>
    </w:tbl>
    <w:p w14:paraId="3B2ED532" w14:textId="77777777" w:rsidR="00B52677" w:rsidRPr="009E67A1" w:rsidRDefault="00B22928" w:rsidP="00633E08">
      <w:pPr>
        <w:numPr>
          <w:ilvl w:val="0"/>
          <w:numId w:val="10"/>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Plan on profit distribution for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6113"/>
        <w:gridCol w:w="2282"/>
      </w:tblGrid>
      <w:tr w:rsidR="00B52677" w:rsidRPr="009E67A1" w14:paraId="4E79E3E9" w14:textId="77777777" w:rsidTr="00633E08">
        <w:tc>
          <w:tcPr>
            <w:tcW w:w="346" w:type="pct"/>
            <w:shd w:val="clear" w:color="auto" w:fill="auto"/>
            <w:tcMar>
              <w:top w:w="0" w:type="dxa"/>
              <w:bottom w:w="0" w:type="dxa"/>
            </w:tcMar>
            <w:vAlign w:val="center"/>
          </w:tcPr>
          <w:p w14:paraId="0EB5B5A2"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No.</w:t>
            </w:r>
          </w:p>
        </w:tc>
        <w:tc>
          <w:tcPr>
            <w:tcW w:w="3388" w:type="pct"/>
            <w:shd w:val="clear" w:color="auto" w:fill="auto"/>
            <w:tcMar>
              <w:top w:w="0" w:type="dxa"/>
              <w:bottom w:w="0" w:type="dxa"/>
            </w:tcMar>
            <w:vAlign w:val="center"/>
          </w:tcPr>
          <w:p w14:paraId="6C05D2DA"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Targets</w:t>
            </w:r>
          </w:p>
        </w:tc>
        <w:tc>
          <w:tcPr>
            <w:tcW w:w="1265" w:type="pct"/>
            <w:shd w:val="clear" w:color="auto" w:fill="auto"/>
            <w:tcMar>
              <w:top w:w="0" w:type="dxa"/>
              <w:bottom w:w="0" w:type="dxa"/>
            </w:tcMar>
            <w:vAlign w:val="center"/>
          </w:tcPr>
          <w:p w14:paraId="3676EE94"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Rate (%)</w:t>
            </w:r>
            <w:r w:rsidR="00CE42C4" w:rsidRPr="009E67A1">
              <w:rPr>
                <w:rFonts w:ascii="Arial" w:hAnsi="Arial" w:cs="Arial"/>
                <w:color w:val="010000"/>
                <w:sz w:val="20"/>
              </w:rPr>
              <w:t>/</w:t>
            </w:r>
          </w:p>
          <w:p w14:paraId="0BAB878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Amount (VND)</w:t>
            </w:r>
          </w:p>
        </w:tc>
      </w:tr>
      <w:tr w:rsidR="00B52677" w:rsidRPr="009E67A1" w14:paraId="2A719127" w14:textId="77777777" w:rsidTr="00633E08">
        <w:tc>
          <w:tcPr>
            <w:tcW w:w="346" w:type="pct"/>
            <w:shd w:val="clear" w:color="auto" w:fill="auto"/>
            <w:tcMar>
              <w:top w:w="0" w:type="dxa"/>
              <w:bottom w:w="0" w:type="dxa"/>
            </w:tcMar>
            <w:vAlign w:val="center"/>
          </w:tcPr>
          <w:p w14:paraId="35293424"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w:t>
            </w:r>
          </w:p>
        </w:tc>
        <w:tc>
          <w:tcPr>
            <w:tcW w:w="3388" w:type="pct"/>
            <w:shd w:val="clear" w:color="auto" w:fill="auto"/>
            <w:tcMar>
              <w:top w:w="0" w:type="dxa"/>
              <w:bottom w:w="0" w:type="dxa"/>
            </w:tcMar>
            <w:vAlign w:val="center"/>
          </w:tcPr>
          <w:p w14:paraId="08C22265"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Profit after tax in 2024 according to the Separate Financial Statements</w:t>
            </w:r>
          </w:p>
        </w:tc>
        <w:tc>
          <w:tcPr>
            <w:tcW w:w="1265" w:type="pct"/>
            <w:shd w:val="clear" w:color="auto" w:fill="auto"/>
            <w:tcMar>
              <w:top w:w="0" w:type="dxa"/>
              <w:bottom w:w="0" w:type="dxa"/>
            </w:tcMar>
            <w:vAlign w:val="center"/>
          </w:tcPr>
          <w:p w14:paraId="1AAE43F3"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18,600,000,000</w:t>
            </w:r>
          </w:p>
        </w:tc>
      </w:tr>
      <w:tr w:rsidR="00B52677" w:rsidRPr="009E67A1" w14:paraId="4DAD201D" w14:textId="77777777" w:rsidTr="00633E08">
        <w:tc>
          <w:tcPr>
            <w:tcW w:w="346" w:type="pct"/>
            <w:shd w:val="clear" w:color="auto" w:fill="auto"/>
            <w:tcMar>
              <w:top w:w="0" w:type="dxa"/>
              <w:bottom w:w="0" w:type="dxa"/>
            </w:tcMar>
            <w:vAlign w:val="center"/>
          </w:tcPr>
          <w:p w14:paraId="61DA50C5"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2</w:t>
            </w:r>
          </w:p>
        </w:tc>
        <w:tc>
          <w:tcPr>
            <w:tcW w:w="3388" w:type="pct"/>
            <w:shd w:val="clear" w:color="auto" w:fill="auto"/>
            <w:tcMar>
              <w:top w:w="0" w:type="dxa"/>
              <w:bottom w:w="0" w:type="dxa"/>
            </w:tcMar>
            <w:vAlign w:val="center"/>
          </w:tcPr>
          <w:p w14:paraId="0F5979F9"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Profit after tax in 2024 according to the Consolidated Financial Statements</w:t>
            </w:r>
          </w:p>
        </w:tc>
        <w:tc>
          <w:tcPr>
            <w:tcW w:w="1265" w:type="pct"/>
            <w:shd w:val="clear" w:color="auto" w:fill="auto"/>
            <w:tcMar>
              <w:top w:w="0" w:type="dxa"/>
              <w:bottom w:w="0" w:type="dxa"/>
            </w:tcMar>
            <w:vAlign w:val="center"/>
          </w:tcPr>
          <w:p w14:paraId="76A90837"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33,200,000,000</w:t>
            </w:r>
          </w:p>
        </w:tc>
      </w:tr>
      <w:tr w:rsidR="00B52677" w:rsidRPr="009E67A1" w14:paraId="6821DF95" w14:textId="77777777" w:rsidTr="00633E08">
        <w:tc>
          <w:tcPr>
            <w:tcW w:w="346" w:type="pct"/>
            <w:shd w:val="clear" w:color="auto" w:fill="auto"/>
            <w:tcMar>
              <w:top w:w="0" w:type="dxa"/>
              <w:bottom w:w="0" w:type="dxa"/>
            </w:tcMar>
            <w:vAlign w:val="center"/>
          </w:tcPr>
          <w:p w14:paraId="05B5D56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lastRenderedPageBreak/>
              <w:t>3</w:t>
            </w:r>
          </w:p>
        </w:tc>
        <w:tc>
          <w:tcPr>
            <w:tcW w:w="3388" w:type="pct"/>
            <w:shd w:val="clear" w:color="auto" w:fill="auto"/>
            <w:tcMar>
              <w:top w:w="0" w:type="dxa"/>
              <w:bottom w:w="0" w:type="dxa"/>
            </w:tcMar>
            <w:vAlign w:val="center"/>
          </w:tcPr>
          <w:p w14:paraId="2BC77960"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Appropriation for bonus and welfare </w:t>
            </w:r>
            <w:r w:rsidR="00CE42C4" w:rsidRPr="009E67A1">
              <w:rPr>
                <w:rFonts w:ascii="Arial" w:hAnsi="Arial" w:cs="Arial"/>
                <w:color w:val="010000"/>
                <w:sz w:val="20"/>
              </w:rPr>
              <w:t>funds</w:t>
            </w:r>
            <w:r w:rsidRPr="009E67A1">
              <w:rPr>
                <w:rFonts w:ascii="Arial" w:hAnsi="Arial" w:cs="Arial"/>
                <w:color w:val="010000"/>
                <w:sz w:val="20"/>
              </w:rPr>
              <w:t xml:space="preserve"> according to the Separate Financial Statements</w:t>
            </w:r>
          </w:p>
        </w:tc>
        <w:tc>
          <w:tcPr>
            <w:tcW w:w="1265" w:type="pct"/>
            <w:shd w:val="clear" w:color="auto" w:fill="auto"/>
            <w:tcMar>
              <w:top w:w="0" w:type="dxa"/>
              <w:bottom w:w="0" w:type="dxa"/>
            </w:tcMar>
            <w:vAlign w:val="center"/>
          </w:tcPr>
          <w:p w14:paraId="1E8825E1"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Maximum 3% of profit after tax</w:t>
            </w:r>
          </w:p>
        </w:tc>
      </w:tr>
      <w:tr w:rsidR="00B52677" w:rsidRPr="009E67A1" w14:paraId="383ED3F2" w14:textId="77777777" w:rsidTr="00633E08">
        <w:tc>
          <w:tcPr>
            <w:tcW w:w="346" w:type="pct"/>
            <w:shd w:val="clear" w:color="auto" w:fill="auto"/>
            <w:tcMar>
              <w:top w:w="0" w:type="dxa"/>
              <w:bottom w:w="0" w:type="dxa"/>
            </w:tcMar>
            <w:vAlign w:val="center"/>
          </w:tcPr>
          <w:p w14:paraId="768B55D4"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4</w:t>
            </w:r>
          </w:p>
        </w:tc>
        <w:tc>
          <w:tcPr>
            <w:tcW w:w="3388" w:type="pct"/>
            <w:shd w:val="clear" w:color="auto" w:fill="auto"/>
            <w:tcMar>
              <w:top w:w="0" w:type="dxa"/>
              <w:bottom w:w="0" w:type="dxa"/>
            </w:tcMar>
            <w:vAlign w:val="center"/>
          </w:tcPr>
          <w:p w14:paraId="5A68AC23"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Expected dividend payment rate</w:t>
            </w:r>
          </w:p>
        </w:tc>
        <w:tc>
          <w:tcPr>
            <w:tcW w:w="1265" w:type="pct"/>
            <w:shd w:val="clear" w:color="auto" w:fill="auto"/>
            <w:tcMar>
              <w:top w:w="0" w:type="dxa"/>
              <w:bottom w:w="0" w:type="dxa"/>
            </w:tcMar>
            <w:vAlign w:val="center"/>
          </w:tcPr>
          <w:p w14:paraId="7CA099F2"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5%</w:t>
            </w:r>
          </w:p>
        </w:tc>
      </w:tr>
    </w:tbl>
    <w:p w14:paraId="5D55CEA4" w14:textId="77777777" w:rsidR="00B52677" w:rsidRPr="009E67A1" w:rsidRDefault="00B22928" w:rsidP="00633E08">
      <w:pPr>
        <w:numPr>
          <w:ilvl w:val="0"/>
          <w:numId w:val="9"/>
        </w:numPr>
        <w:pBdr>
          <w:top w:val="nil"/>
          <w:left w:val="nil"/>
          <w:bottom w:val="nil"/>
          <w:right w:val="nil"/>
          <w:between w:val="nil"/>
        </w:pBdr>
        <w:tabs>
          <w:tab w:val="left" w:pos="284"/>
          <w:tab w:val="left" w:pos="916"/>
        </w:tabs>
        <w:spacing w:after="120" w:line="360" w:lineRule="auto"/>
        <w:jc w:val="both"/>
        <w:rPr>
          <w:rFonts w:ascii="Arial" w:eastAsia="Arial" w:hAnsi="Arial" w:cs="Arial"/>
          <w:color w:val="010000"/>
          <w:sz w:val="20"/>
          <w:szCs w:val="22"/>
        </w:rPr>
      </w:pPr>
      <w:r w:rsidRPr="009E67A1">
        <w:rPr>
          <w:rFonts w:ascii="Arial" w:hAnsi="Arial" w:cs="Arial"/>
          <w:color w:val="010000"/>
          <w:sz w:val="20"/>
        </w:rPr>
        <w:t>Implementation</w:t>
      </w:r>
    </w:p>
    <w:p w14:paraId="3FE560B7" w14:textId="77777777" w:rsidR="00B52677" w:rsidRPr="009E67A1" w:rsidRDefault="00B22928" w:rsidP="00633E08">
      <w:pPr>
        <w:numPr>
          <w:ilvl w:val="0"/>
          <w:numId w:val="1"/>
        </w:numPr>
        <w:pBdr>
          <w:top w:val="nil"/>
          <w:left w:val="nil"/>
          <w:bottom w:val="nil"/>
          <w:right w:val="nil"/>
          <w:between w:val="nil"/>
        </w:pBdr>
        <w:tabs>
          <w:tab w:val="left" w:pos="284"/>
          <w:tab w:val="left" w:pos="916"/>
        </w:tabs>
        <w:spacing w:after="120" w:line="360" w:lineRule="auto"/>
        <w:jc w:val="both"/>
        <w:rPr>
          <w:rFonts w:ascii="Arial" w:eastAsia="Arial" w:hAnsi="Arial" w:cs="Arial"/>
          <w:color w:val="010000"/>
          <w:sz w:val="20"/>
          <w:szCs w:val="22"/>
        </w:rPr>
      </w:pPr>
      <w:r w:rsidRPr="009E67A1">
        <w:rPr>
          <w:rFonts w:ascii="Arial" w:hAnsi="Arial" w:cs="Arial"/>
          <w:color w:val="010000"/>
          <w:sz w:val="20"/>
        </w:rPr>
        <w:t>Authorize the Board of Directors to pay dividends of 2023 according to the rate approved by the General Meeting of Shareholders.</w:t>
      </w:r>
    </w:p>
    <w:p w14:paraId="5DBC1EFA" w14:textId="77777777" w:rsidR="00B52677" w:rsidRPr="009E67A1" w:rsidRDefault="00B22928" w:rsidP="00633E08">
      <w:pPr>
        <w:numPr>
          <w:ilvl w:val="0"/>
          <w:numId w:val="1"/>
        </w:numPr>
        <w:pBdr>
          <w:top w:val="nil"/>
          <w:left w:val="nil"/>
          <w:bottom w:val="nil"/>
          <w:right w:val="nil"/>
          <w:between w:val="nil"/>
        </w:pBdr>
        <w:tabs>
          <w:tab w:val="left" w:pos="284"/>
          <w:tab w:val="left" w:pos="924"/>
        </w:tabs>
        <w:spacing w:after="120" w:line="360" w:lineRule="auto"/>
        <w:jc w:val="both"/>
        <w:rPr>
          <w:rFonts w:ascii="Arial" w:eastAsia="Arial" w:hAnsi="Arial" w:cs="Arial"/>
          <w:color w:val="010000"/>
          <w:sz w:val="20"/>
          <w:szCs w:val="22"/>
        </w:rPr>
      </w:pPr>
      <w:r w:rsidRPr="009E67A1">
        <w:rPr>
          <w:rFonts w:ascii="Arial" w:hAnsi="Arial" w:cs="Arial"/>
          <w:color w:val="010000"/>
          <w:sz w:val="20"/>
        </w:rPr>
        <w:t>Based on the practical production and business activities of the Company and its member companies in 2024 as well as the market situation, the Board of Directors is authorized to prepay dividends of 2024 according to the rate approved by the General Meeting of Shareholders.</w:t>
      </w:r>
    </w:p>
    <w:p w14:paraId="14FD3623"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The Board of Directors is also responsible for reporting and explaining to shareholders the above contents at the next Annual General Meeting of Shareholders.</w:t>
      </w:r>
    </w:p>
    <w:p w14:paraId="5112A3F9"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‎‎Article 6. Approve the remuneration settlement in 2023 and the plan on remuneration payment to the Board of Directors and the Supervisory Board for 2024. Specifically:</w:t>
      </w:r>
    </w:p>
    <w:p w14:paraId="53295754" w14:textId="77777777" w:rsidR="00B52677" w:rsidRPr="009E67A1" w:rsidRDefault="00B22928" w:rsidP="00633E08">
      <w:pPr>
        <w:numPr>
          <w:ilvl w:val="0"/>
          <w:numId w:val="6"/>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2"/>
        </w:rPr>
      </w:pPr>
      <w:r w:rsidRPr="009E67A1">
        <w:rPr>
          <w:rFonts w:ascii="Arial" w:hAnsi="Arial" w:cs="Arial"/>
          <w:color w:val="010000"/>
          <w:sz w:val="20"/>
        </w:rPr>
        <w:t>Remuneration payment to the Board of Directors and the Supervisory Board in 2023:</w:t>
      </w:r>
    </w:p>
    <w:p w14:paraId="7408237B" w14:textId="77777777" w:rsidR="00B52677" w:rsidRPr="009E67A1" w:rsidRDefault="00B22928" w:rsidP="00633E08">
      <w:pPr>
        <w:numPr>
          <w:ilvl w:val="0"/>
          <w:numId w:val="2"/>
        </w:numPr>
        <w:pBdr>
          <w:top w:val="nil"/>
          <w:left w:val="nil"/>
          <w:bottom w:val="nil"/>
          <w:right w:val="nil"/>
          <w:between w:val="nil"/>
        </w:pBdr>
        <w:tabs>
          <w:tab w:val="left" w:pos="284"/>
          <w:tab w:val="left" w:pos="808"/>
        </w:tabs>
        <w:spacing w:after="120" w:line="360" w:lineRule="auto"/>
        <w:jc w:val="both"/>
        <w:rPr>
          <w:rFonts w:ascii="Arial" w:eastAsia="Arial" w:hAnsi="Arial" w:cs="Arial"/>
          <w:color w:val="010000"/>
          <w:sz w:val="20"/>
          <w:szCs w:val="22"/>
        </w:rPr>
      </w:pPr>
      <w:r w:rsidRPr="009E67A1">
        <w:rPr>
          <w:rFonts w:ascii="Arial" w:hAnsi="Arial" w:cs="Arial"/>
          <w:color w:val="010000"/>
          <w:sz w:val="20"/>
        </w:rPr>
        <w:t>The estimate in 2023 approved by the General Meeting of Shareholders: VND 288,000,000</w:t>
      </w:r>
    </w:p>
    <w:p w14:paraId="77460A16" w14:textId="77777777" w:rsidR="00B52677" w:rsidRPr="009E67A1" w:rsidRDefault="00B22928" w:rsidP="00633E08">
      <w:pPr>
        <w:numPr>
          <w:ilvl w:val="0"/>
          <w:numId w:val="2"/>
        </w:numPr>
        <w:pBdr>
          <w:top w:val="nil"/>
          <w:left w:val="nil"/>
          <w:bottom w:val="nil"/>
          <w:right w:val="nil"/>
          <w:between w:val="nil"/>
        </w:pBdr>
        <w:tabs>
          <w:tab w:val="left" w:pos="284"/>
          <w:tab w:val="left" w:pos="808"/>
          <w:tab w:val="left" w:pos="5396"/>
        </w:tabs>
        <w:spacing w:after="120" w:line="360" w:lineRule="auto"/>
        <w:jc w:val="both"/>
        <w:rPr>
          <w:rFonts w:ascii="Arial" w:eastAsia="Arial" w:hAnsi="Arial" w:cs="Arial"/>
          <w:color w:val="010000"/>
          <w:sz w:val="20"/>
          <w:szCs w:val="22"/>
        </w:rPr>
      </w:pPr>
      <w:r w:rsidRPr="009E67A1">
        <w:rPr>
          <w:rFonts w:ascii="Arial" w:hAnsi="Arial" w:cs="Arial"/>
          <w:color w:val="010000"/>
          <w:sz w:val="20"/>
        </w:rPr>
        <w:t>Actual amount paid: VND 288,000,000</w:t>
      </w:r>
    </w:p>
    <w:p w14:paraId="524F4646" w14:textId="77777777" w:rsidR="009E67A1" w:rsidRPr="00633E08" w:rsidRDefault="00B22928" w:rsidP="00633E08">
      <w:pPr>
        <w:pBdr>
          <w:top w:val="nil"/>
          <w:left w:val="nil"/>
          <w:bottom w:val="nil"/>
          <w:right w:val="nil"/>
          <w:between w:val="nil"/>
        </w:pBdr>
        <w:tabs>
          <w:tab w:val="left" w:pos="284"/>
          <w:tab w:val="left" w:pos="5396"/>
        </w:tabs>
        <w:spacing w:after="120" w:line="360" w:lineRule="auto"/>
        <w:jc w:val="both"/>
        <w:rPr>
          <w:rFonts w:ascii="Arial" w:hAnsi="Arial" w:cs="Arial"/>
          <w:i/>
          <w:color w:val="010000"/>
          <w:sz w:val="20"/>
        </w:rPr>
      </w:pPr>
      <w:r w:rsidRPr="00633E08">
        <w:rPr>
          <w:rFonts w:ascii="Arial" w:hAnsi="Arial" w:cs="Arial"/>
          <w:i/>
          <w:color w:val="010000"/>
          <w:sz w:val="20"/>
        </w:rPr>
        <w:t xml:space="preserve">In which: </w:t>
      </w:r>
    </w:p>
    <w:p w14:paraId="54FDD71E" w14:textId="088786E9" w:rsidR="00B52677" w:rsidRPr="00633E08" w:rsidRDefault="00B22928" w:rsidP="00633E08">
      <w:pPr>
        <w:pBdr>
          <w:top w:val="nil"/>
          <w:left w:val="nil"/>
          <w:bottom w:val="nil"/>
          <w:right w:val="nil"/>
          <w:between w:val="nil"/>
        </w:pBdr>
        <w:tabs>
          <w:tab w:val="left" w:pos="284"/>
          <w:tab w:val="left" w:pos="5396"/>
        </w:tabs>
        <w:spacing w:after="120" w:line="360" w:lineRule="auto"/>
        <w:jc w:val="both"/>
        <w:rPr>
          <w:rFonts w:ascii="Arial" w:hAnsi="Arial" w:cs="Arial"/>
          <w:i/>
          <w:color w:val="010000"/>
          <w:sz w:val="20"/>
        </w:rPr>
      </w:pPr>
      <w:r w:rsidRPr="00633E08">
        <w:rPr>
          <w:rFonts w:ascii="Arial" w:hAnsi="Arial" w:cs="Arial"/>
          <w:i/>
          <w:color w:val="010000"/>
          <w:sz w:val="20"/>
        </w:rPr>
        <w:t xml:space="preserve">+ Remuneration of </w:t>
      </w:r>
      <w:r w:rsidR="00CE42C4" w:rsidRPr="00633E08">
        <w:rPr>
          <w:rFonts w:ascii="Arial" w:hAnsi="Arial" w:cs="Arial"/>
          <w:i/>
          <w:color w:val="010000"/>
          <w:sz w:val="20"/>
        </w:rPr>
        <w:t>members of the Board of Directors</w:t>
      </w:r>
      <w:r w:rsidRPr="00633E08">
        <w:rPr>
          <w:rFonts w:ascii="Arial" w:hAnsi="Arial" w:cs="Arial"/>
          <w:i/>
          <w:color w:val="010000"/>
          <w:sz w:val="20"/>
        </w:rPr>
        <w:t>:</w:t>
      </w:r>
      <w:r w:rsidRPr="00633E08">
        <w:rPr>
          <w:rFonts w:ascii="Arial" w:hAnsi="Arial" w:cs="Arial"/>
          <w:i/>
          <w:color w:val="010000"/>
          <w:sz w:val="20"/>
        </w:rPr>
        <w:tab/>
        <w:t>VND 204,000,000</w:t>
      </w:r>
    </w:p>
    <w:p w14:paraId="29326DBF" w14:textId="77777777" w:rsidR="00B52677" w:rsidRPr="00633E08" w:rsidRDefault="00094D18" w:rsidP="00633E08">
      <w:pPr>
        <w:pBdr>
          <w:top w:val="nil"/>
          <w:left w:val="nil"/>
          <w:bottom w:val="nil"/>
          <w:right w:val="nil"/>
          <w:between w:val="nil"/>
        </w:pBdr>
        <w:tabs>
          <w:tab w:val="left" w:pos="284"/>
          <w:tab w:val="left" w:pos="5396"/>
        </w:tabs>
        <w:spacing w:after="120" w:line="360" w:lineRule="auto"/>
        <w:jc w:val="both"/>
        <w:rPr>
          <w:rFonts w:ascii="Arial" w:eastAsia="Arial" w:hAnsi="Arial" w:cs="Arial"/>
          <w:i/>
          <w:color w:val="010000"/>
          <w:sz w:val="20"/>
          <w:szCs w:val="22"/>
        </w:rPr>
      </w:pPr>
      <w:r w:rsidRPr="00633E08">
        <w:rPr>
          <w:rFonts w:ascii="Arial" w:hAnsi="Arial" w:cs="Arial"/>
          <w:i/>
          <w:color w:val="010000"/>
          <w:sz w:val="20"/>
        </w:rPr>
        <w:t xml:space="preserve"> </w:t>
      </w:r>
      <w:r w:rsidR="00B22928" w:rsidRPr="00633E08">
        <w:rPr>
          <w:rFonts w:ascii="Arial" w:hAnsi="Arial" w:cs="Arial"/>
          <w:i/>
          <w:color w:val="010000"/>
          <w:sz w:val="20"/>
        </w:rPr>
        <w:t>+ Remuneration of me</w:t>
      </w:r>
      <w:r w:rsidR="00CE42C4" w:rsidRPr="00633E08">
        <w:rPr>
          <w:rFonts w:ascii="Arial" w:hAnsi="Arial" w:cs="Arial"/>
          <w:i/>
          <w:color w:val="010000"/>
          <w:sz w:val="20"/>
        </w:rPr>
        <w:t>mbers of the Supervisory Board</w:t>
      </w:r>
      <w:r w:rsidR="00B22928" w:rsidRPr="00633E08">
        <w:rPr>
          <w:rFonts w:ascii="Arial" w:hAnsi="Arial" w:cs="Arial"/>
          <w:i/>
          <w:color w:val="010000"/>
          <w:sz w:val="20"/>
        </w:rPr>
        <w:t>:</w:t>
      </w:r>
      <w:r w:rsidR="00B22928" w:rsidRPr="00633E08">
        <w:rPr>
          <w:rFonts w:ascii="Arial" w:hAnsi="Arial" w:cs="Arial"/>
          <w:i/>
          <w:color w:val="010000"/>
          <w:sz w:val="20"/>
        </w:rPr>
        <w:tab/>
        <w:t>VND 84,000,000</w:t>
      </w:r>
    </w:p>
    <w:p w14:paraId="0EA8F5AE"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2. Plan on remuneration payment to the Board of Directors and the Supervisory Board in 2024:</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8"/>
        <w:gridCol w:w="2781"/>
        <w:gridCol w:w="887"/>
        <w:gridCol w:w="1775"/>
        <w:gridCol w:w="887"/>
        <w:gridCol w:w="2071"/>
      </w:tblGrid>
      <w:tr w:rsidR="00B52677" w:rsidRPr="009E67A1" w14:paraId="5F9E64C9" w14:textId="77777777" w:rsidTr="00094D18">
        <w:tc>
          <w:tcPr>
            <w:tcW w:w="342" w:type="pct"/>
            <w:shd w:val="clear" w:color="auto" w:fill="auto"/>
            <w:tcMar>
              <w:top w:w="0" w:type="dxa"/>
              <w:bottom w:w="0" w:type="dxa"/>
            </w:tcMar>
            <w:vAlign w:val="center"/>
          </w:tcPr>
          <w:p w14:paraId="02E5DE05"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No.</w:t>
            </w:r>
          </w:p>
        </w:tc>
        <w:tc>
          <w:tcPr>
            <w:tcW w:w="1542" w:type="pct"/>
            <w:shd w:val="clear" w:color="auto" w:fill="auto"/>
            <w:tcMar>
              <w:top w:w="0" w:type="dxa"/>
              <w:bottom w:w="0" w:type="dxa"/>
            </w:tcMar>
            <w:vAlign w:val="center"/>
          </w:tcPr>
          <w:p w14:paraId="47831612"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Position</w:t>
            </w:r>
          </w:p>
        </w:tc>
        <w:tc>
          <w:tcPr>
            <w:tcW w:w="492" w:type="pct"/>
            <w:shd w:val="clear" w:color="auto" w:fill="auto"/>
            <w:tcMar>
              <w:top w:w="0" w:type="dxa"/>
              <w:bottom w:w="0" w:type="dxa"/>
            </w:tcMar>
            <w:vAlign w:val="center"/>
          </w:tcPr>
          <w:p w14:paraId="0AF2897C"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Number of people</w:t>
            </w:r>
          </w:p>
        </w:tc>
        <w:tc>
          <w:tcPr>
            <w:tcW w:w="984" w:type="pct"/>
            <w:shd w:val="clear" w:color="auto" w:fill="auto"/>
            <w:tcMar>
              <w:top w:w="0" w:type="dxa"/>
              <w:bottom w:w="0" w:type="dxa"/>
            </w:tcMar>
            <w:vAlign w:val="center"/>
          </w:tcPr>
          <w:p w14:paraId="15911578"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Amount/month (VND)</w:t>
            </w:r>
          </w:p>
        </w:tc>
        <w:tc>
          <w:tcPr>
            <w:tcW w:w="492" w:type="pct"/>
            <w:shd w:val="clear" w:color="auto" w:fill="auto"/>
            <w:tcMar>
              <w:top w:w="0" w:type="dxa"/>
              <w:bottom w:w="0" w:type="dxa"/>
            </w:tcMar>
            <w:vAlign w:val="center"/>
          </w:tcPr>
          <w:p w14:paraId="79F151A4"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Number of months</w:t>
            </w:r>
          </w:p>
        </w:tc>
        <w:tc>
          <w:tcPr>
            <w:tcW w:w="1148" w:type="pct"/>
            <w:shd w:val="clear" w:color="auto" w:fill="auto"/>
            <w:tcMar>
              <w:top w:w="0" w:type="dxa"/>
              <w:bottom w:w="0" w:type="dxa"/>
            </w:tcMar>
            <w:vAlign w:val="center"/>
          </w:tcPr>
          <w:p w14:paraId="39D5F17F"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Amount (VND)</w:t>
            </w:r>
          </w:p>
        </w:tc>
      </w:tr>
      <w:tr w:rsidR="00B52677" w:rsidRPr="009E67A1" w14:paraId="3CDA905F" w14:textId="77777777" w:rsidTr="00094D18">
        <w:tc>
          <w:tcPr>
            <w:tcW w:w="342" w:type="pct"/>
            <w:shd w:val="clear" w:color="auto" w:fill="auto"/>
            <w:tcMar>
              <w:top w:w="0" w:type="dxa"/>
              <w:bottom w:w="0" w:type="dxa"/>
            </w:tcMar>
            <w:vAlign w:val="center"/>
          </w:tcPr>
          <w:p w14:paraId="5A8D5014"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1</w:t>
            </w:r>
          </w:p>
        </w:tc>
        <w:tc>
          <w:tcPr>
            <w:tcW w:w="1542" w:type="pct"/>
            <w:shd w:val="clear" w:color="auto" w:fill="auto"/>
            <w:tcMar>
              <w:top w:w="0" w:type="dxa"/>
              <w:bottom w:w="0" w:type="dxa"/>
            </w:tcMar>
            <w:vAlign w:val="center"/>
          </w:tcPr>
          <w:p w14:paraId="7A460008"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Chair of the Board of Directors</w:t>
            </w:r>
          </w:p>
        </w:tc>
        <w:tc>
          <w:tcPr>
            <w:tcW w:w="492" w:type="pct"/>
            <w:shd w:val="clear" w:color="auto" w:fill="auto"/>
            <w:tcMar>
              <w:top w:w="0" w:type="dxa"/>
              <w:bottom w:w="0" w:type="dxa"/>
            </w:tcMar>
            <w:vAlign w:val="center"/>
          </w:tcPr>
          <w:p w14:paraId="6A7C1AE8"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01</w:t>
            </w:r>
          </w:p>
        </w:tc>
        <w:tc>
          <w:tcPr>
            <w:tcW w:w="984" w:type="pct"/>
            <w:shd w:val="clear" w:color="auto" w:fill="auto"/>
            <w:tcMar>
              <w:top w:w="0" w:type="dxa"/>
              <w:bottom w:w="0" w:type="dxa"/>
            </w:tcMar>
            <w:vAlign w:val="center"/>
          </w:tcPr>
          <w:p w14:paraId="3621149E"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5,000,000</w:t>
            </w:r>
          </w:p>
        </w:tc>
        <w:tc>
          <w:tcPr>
            <w:tcW w:w="492" w:type="pct"/>
            <w:shd w:val="clear" w:color="auto" w:fill="auto"/>
            <w:tcMar>
              <w:top w:w="0" w:type="dxa"/>
              <w:bottom w:w="0" w:type="dxa"/>
            </w:tcMar>
            <w:vAlign w:val="center"/>
          </w:tcPr>
          <w:p w14:paraId="2E20BF2D"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12</w:t>
            </w:r>
          </w:p>
        </w:tc>
        <w:tc>
          <w:tcPr>
            <w:tcW w:w="1148" w:type="pct"/>
            <w:shd w:val="clear" w:color="auto" w:fill="auto"/>
            <w:tcMar>
              <w:top w:w="0" w:type="dxa"/>
              <w:bottom w:w="0" w:type="dxa"/>
            </w:tcMar>
            <w:vAlign w:val="center"/>
          </w:tcPr>
          <w:p w14:paraId="3952E9A7"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60,000,000</w:t>
            </w:r>
          </w:p>
        </w:tc>
      </w:tr>
      <w:tr w:rsidR="00B52677" w:rsidRPr="009E67A1" w14:paraId="5DF13111" w14:textId="77777777" w:rsidTr="00094D18">
        <w:tc>
          <w:tcPr>
            <w:tcW w:w="342" w:type="pct"/>
            <w:shd w:val="clear" w:color="auto" w:fill="auto"/>
            <w:tcMar>
              <w:top w:w="0" w:type="dxa"/>
              <w:bottom w:w="0" w:type="dxa"/>
            </w:tcMar>
            <w:vAlign w:val="center"/>
          </w:tcPr>
          <w:p w14:paraId="27E16B26"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2</w:t>
            </w:r>
          </w:p>
        </w:tc>
        <w:tc>
          <w:tcPr>
            <w:tcW w:w="1542" w:type="pct"/>
            <w:shd w:val="clear" w:color="auto" w:fill="auto"/>
            <w:tcMar>
              <w:top w:w="0" w:type="dxa"/>
              <w:bottom w:w="0" w:type="dxa"/>
            </w:tcMar>
            <w:vAlign w:val="center"/>
          </w:tcPr>
          <w:p w14:paraId="0DD85418"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Member of the Board of Directors</w:t>
            </w:r>
          </w:p>
        </w:tc>
        <w:tc>
          <w:tcPr>
            <w:tcW w:w="492" w:type="pct"/>
            <w:shd w:val="clear" w:color="auto" w:fill="auto"/>
            <w:tcMar>
              <w:top w:w="0" w:type="dxa"/>
              <w:bottom w:w="0" w:type="dxa"/>
            </w:tcMar>
            <w:vAlign w:val="center"/>
          </w:tcPr>
          <w:p w14:paraId="3F1ED48A"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04</w:t>
            </w:r>
          </w:p>
        </w:tc>
        <w:tc>
          <w:tcPr>
            <w:tcW w:w="984" w:type="pct"/>
            <w:shd w:val="clear" w:color="auto" w:fill="auto"/>
            <w:tcMar>
              <w:top w:w="0" w:type="dxa"/>
              <w:bottom w:w="0" w:type="dxa"/>
            </w:tcMar>
            <w:vAlign w:val="center"/>
          </w:tcPr>
          <w:p w14:paraId="1CCC9856"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3,000,000</w:t>
            </w:r>
          </w:p>
        </w:tc>
        <w:tc>
          <w:tcPr>
            <w:tcW w:w="492" w:type="pct"/>
            <w:shd w:val="clear" w:color="auto" w:fill="auto"/>
            <w:tcMar>
              <w:top w:w="0" w:type="dxa"/>
              <w:bottom w:w="0" w:type="dxa"/>
            </w:tcMar>
            <w:vAlign w:val="center"/>
          </w:tcPr>
          <w:p w14:paraId="6FFCEBCA"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12</w:t>
            </w:r>
          </w:p>
        </w:tc>
        <w:tc>
          <w:tcPr>
            <w:tcW w:w="1148" w:type="pct"/>
            <w:shd w:val="clear" w:color="auto" w:fill="auto"/>
            <w:tcMar>
              <w:top w:w="0" w:type="dxa"/>
              <w:bottom w:w="0" w:type="dxa"/>
            </w:tcMar>
            <w:vAlign w:val="center"/>
          </w:tcPr>
          <w:p w14:paraId="54EE8856"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144,000,000</w:t>
            </w:r>
          </w:p>
        </w:tc>
      </w:tr>
      <w:tr w:rsidR="00B52677" w:rsidRPr="009E67A1" w14:paraId="4A75C6D3" w14:textId="77777777" w:rsidTr="00094D18">
        <w:tc>
          <w:tcPr>
            <w:tcW w:w="342" w:type="pct"/>
            <w:shd w:val="clear" w:color="auto" w:fill="auto"/>
            <w:tcMar>
              <w:top w:w="0" w:type="dxa"/>
              <w:bottom w:w="0" w:type="dxa"/>
            </w:tcMar>
            <w:vAlign w:val="center"/>
          </w:tcPr>
          <w:p w14:paraId="08F4539D"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3</w:t>
            </w:r>
          </w:p>
        </w:tc>
        <w:tc>
          <w:tcPr>
            <w:tcW w:w="1542" w:type="pct"/>
            <w:shd w:val="clear" w:color="auto" w:fill="auto"/>
            <w:tcMar>
              <w:top w:w="0" w:type="dxa"/>
              <w:bottom w:w="0" w:type="dxa"/>
            </w:tcMar>
            <w:vAlign w:val="center"/>
          </w:tcPr>
          <w:p w14:paraId="203859DF"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Chief of the Supervisory Board</w:t>
            </w:r>
          </w:p>
        </w:tc>
        <w:tc>
          <w:tcPr>
            <w:tcW w:w="492" w:type="pct"/>
            <w:shd w:val="clear" w:color="auto" w:fill="auto"/>
            <w:tcMar>
              <w:top w:w="0" w:type="dxa"/>
              <w:bottom w:w="0" w:type="dxa"/>
            </w:tcMar>
            <w:vAlign w:val="center"/>
          </w:tcPr>
          <w:p w14:paraId="2CDC7D74"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01</w:t>
            </w:r>
          </w:p>
        </w:tc>
        <w:tc>
          <w:tcPr>
            <w:tcW w:w="984" w:type="pct"/>
            <w:shd w:val="clear" w:color="auto" w:fill="auto"/>
            <w:tcMar>
              <w:top w:w="0" w:type="dxa"/>
              <w:bottom w:w="0" w:type="dxa"/>
            </w:tcMar>
            <w:vAlign w:val="center"/>
          </w:tcPr>
          <w:p w14:paraId="21C5A2E2"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3,000,000</w:t>
            </w:r>
          </w:p>
        </w:tc>
        <w:tc>
          <w:tcPr>
            <w:tcW w:w="492" w:type="pct"/>
            <w:shd w:val="clear" w:color="auto" w:fill="auto"/>
            <w:tcMar>
              <w:top w:w="0" w:type="dxa"/>
              <w:bottom w:w="0" w:type="dxa"/>
            </w:tcMar>
            <w:vAlign w:val="center"/>
          </w:tcPr>
          <w:p w14:paraId="3606867A"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12</w:t>
            </w:r>
          </w:p>
        </w:tc>
        <w:tc>
          <w:tcPr>
            <w:tcW w:w="1148" w:type="pct"/>
            <w:shd w:val="clear" w:color="auto" w:fill="auto"/>
            <w:tcMar>
              <w:top w:w="0" w:type="dxa"/>
              <w:bottom w:w="0" w:type="dxa"/>
            </w:tcMar>
            <w:vAlign w:val="center"/>
          </w:tcPr>
          <w:p w14:paraId="3361D003"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36,000,000</w:t>
            </w:r>
          </w:p>
        </w:tc>
      </w:tr>
      <w:tr w:rsidR="00B52677" w:rsidRPr="009E67A1" w14:paraId="6AB87A9D" w14:textId="77777777" w:rsidTr="00094D18">
        <w:tc>
          <w:tcPr>
            <w:tcW w:w="342" w:type="pct"/>
            <w:shd w:val="clear" w:color="auto" w:fill="auto"/>
            <w:tcMar>
              <w:top w:w="0" w:type="dxa"/>
              <w:bottom w:w="0" w:type="dxa"/>
            </w:tcMar>
            <w:vAlign w:val="center"/>
          </w:tcPr>
          <w:p w14:paraId="23596E49"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4</w:t>
            </w:r>
          </w:p>
        </w:tc>
        <w:tc>
          <w:tcPr>
            <w:tcW w:w="1542" w:type="pct"/>
            <w:shd w:val="clear" w:color="auto" w:fill="auto"/>
            <w:tcMar>
              <w:top w:w="0" w:type="dxa"/>
              <w:bottom w:w="0" w:type="dxa"/>
            </w:tcMar>
            <w:vAlign w:val="center"/>
          </w:tcPr>
          <w:p w14:paraId="38E8B3FF"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Members of the Supervisory Board</w:t>
            </w:r>
          </w:p>
        </w:tc>
        <w:tc>
          <w:tcPr>
            <w:tcW w:w="492" w:type="pct"/>
            <w:shd w:val="clear" w:color="auto" w:fill="auto"/>
            <w:tcMar>
              <w:top w:w="0" w:type="dxa"/>
              <w:bottom w:w="0" w:type="dxa"/>
            </w:tcMar>
            <w:vAlign w:val="center"/>
          </w:tcPr>
          <w:p w14:paraId="524E106F"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02</w:t>
            </w:r>
          </w:p>
        </w:tc>
        <w:tc>
          <w:tcPr>
            <w:tcW w:w="984" w:type="pct"/>
            <w:shd w:val="clear" w:color="auto" w:fill="auto"/>
            <w:tcMar>
              <w:top w:w="0" w:type="dxa"/>
              <w:bottom w:w="0" w:type="dxa"/>
            </w:tcMar>
            <w:vAlign w:val="center"/>
          </w:tcPr>
          <w:p w14:paraId="17D94127"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2,000,000</w:t>
            </w:r>
          </w:p>
        </w:tc>
        <w:tc>
          <w:tcPr>
            <w:tcW w:w="492" w:type="pct"/>
            <w:shd w:val="clear" w:color="auto" w:fill="auto"/>
            <w:tcMar>
              <w:top w:w="0" w:type="dxa"/>
              <w:bottom w:w="0" w:type="dxa"/>
            </w:tcMar>
            <w:vAlign w:val="center"/>
          </w:tcPr>
          <w:p w14:paraId="04A52BF2"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12</w:t>
            </w:r>
          </w:p>
        </w:tc>
        <w:tc>
          <w:tcPr>
            <w:tcW w:w="1148" w:type="pct"/>
            <w:shd w:val="clear" w:color="auto" w:fill="auto"/>
            <w:tcMar>
              <w:top w:w="0" w:type="dxa"/>
              <w:bottom w:w="0" w:type="dxa"/>
            </w:tcMar>
            <w:vAlign w:val="center"/>
          </w:tcPr>
          <w:p w14:paraId="4F938DEC"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48,000,000</w:t>
            </w:r>
          </w:p>
        </w:tc>
      </w:tr>
      <w:tr w:rsidR="00B52677" w:rsidRPr="009E67A1" w14:paraId="12C9B40E" w14:textId="77777777" w:rsidTr="00094D18">
        <w:tc>
          <w:tcPr>
            <w:tcW w:w="342" w:type="pct"/>
            <w:shd w:val="clear" w:color="auto" w:fill="auto"/>
            <w:tcMar>
              <w:top w:w="0" w:type="dxa"/>
              <w:bottom w:w="0" w:type="dxa"/>
            </w:tcMar>
            <w:vAlign w:val="center"/>
          </w:tcPr>
          <w:p w14:paraId="4244B7BF" w14:textId="77777777" w:rsidR="00B52677" w:rsidRPr="009E67A1" w:rsidRDefault="00B52677" w:rsidP="00633E08">
            <w:pPr>
              <w:tabs>
                <w:tab w:val="left" w:pos="284"/>
              </w:tabs>
              <w:spacing w:after="120" w:line="360" w:lineRule="auto"/>
              <w:jc w:val="center"/>
              <w:rPr>
                <w:rFonts w:ascii="Arial" w:eastAsia="Arial" w:hAnsi="Arial" w:cs="Arial"/>
                <w:color w:val="010000"/>
                <w:sz w:val="20"/>
                <w:szCs w:val="22"/>
              </w:rPr>
            </w:pPr>
          </w:p>
        </w:tc>
        <w:tc>
          <w:tcPr>
            <w:tcW w:w="1542" w:type="pct"/>
            <w:shd w:val="clear" w:color="auto" w:fill="auto"/>
            <w:tcMar>
              <w:top w:w="0" w:type="dxa"/>
              <w:bottom w:w="0" w:type="dxa"/>
            </w:tcMar>
            <w:vAlign w:val="center"/>
          </w:tcPr>
          <w:p w14:paraId="6149E4A4"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Total</w:t>
            </w:r>
          </w:p>
        </w:tc>
        <w:tc>
          <w:tcPr>
            <w:tcW w:w="492" w:type="pct"/>
            <w:shd w:val="clear" w:color="auto" w:fill="auto"/>
            <w:tcMar>
              <w:top w:w="0" w:type="dxa"/>
              <w:bottom w:w="0" w:type="dxa"/>
            </w:tcMar>
            <w:vAlign w:val="center"/>
          </w:tcPr>
          <w:p w14:paraId="6AD541A4"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08</w:t>
            </w:r>
          </w:p>
        </w:tc>
        <w:tc>
          <w:tcPr>
            <w:tcW w:w="984" w:type="pct"/>
            <w:shd w:val="clear" w:color="auto" w:fill="auto"/>
            <w:tcMar>
              <w:top w:w="0" w:type="dxa"/>
              <w:bottom w:w="0" w:type="dxa"/>
            </w:tcMar>
            <w:vAlign w:val="center"/>
          </w:tcPr>
          <w:p w14:paraId="12441728" w14:textId="77777777" w:rsidR="00B52677" w:rsidRPr="009E67A1" w:rsidRDefault="00B52677" w:rsidP="00633E08">
            <w:pPr>
              <w:tabs>
                <w:tab w:val="left" w:pos="284"/>
              </w:tabs>
              <w:spacing w:after="120" w:line="360" w:lineRule="auto"/>
              <w:jc w:val="center"/>
              <w:rPr>
                <w:rFonts w:ascii="Arial" w:eastAsia="Arial" w:hAnsi="Arial" w:cs="Arial"/>
                <w:color w:val="010000"/>
                <w:sz w:val="20"/>
                <w:szCs w:val="22"/>
              </w:rPr>
            </w:pPr>
          </w:p>
        </w:tc>
        <w:tc>
          <w:tcPr>
            <w:tcW w:w="492" w:type="pct"/>
            <w:shd w:val="clear" w:color="auto" w:fill="auto"/>
            <w:tcMar>
              <w:top w:w="0" w:type="dxa"/>
              <w:bottom w:w="0" w:type="dxa"/>
            </w:tcMar>
            <w:vAlign w:val="center"/>
          </w:tcPr>
          <w:p w14:paraId="593926A2" w14:textId="77777777" w:rsidR="00B52677" w:rsidRPr="009E67A1" w:rsidRDefault="00B52677" w:rsidP="00633E08">
            <w:pPr>
              <w:tabs>
                <w:tab w:val="left" w:pos="284"/>
              </w:tabs>
              <w:spacing w:after="120" w:line="360" w:lineRule="auto"/>
              <w:jc w:val="center"/>
              <w:rPr>
                <w:rFonts w:ascii="Arial" w:eastAsia="Arial" w:hAnsi="Arial" w:cs="Arial"/>
                <w:color w:val="010000"/>
                <w:sz w:val="20"/>
                <w:szCs w:val="22"/>
              </w:rPr>
            </w:pPr>
          </w:p>
        </w:tc>
        <w:tc>
          <w:tcPr>
            <w:tcW w:w="1148" w:type="pct"/>
            <w:shd w:val="clear" w:color="auto" w:fill="auto"/>
            <w:tcMar>
              <w:top w:w="0" w:type="dxa"/>
              <w:bottom w:w="0" w:type="dxa"/>
            </w:tcMar>
            <w:vAlign w:val="center"/>
          </w:tcPr>
          <w:p w14:paraId="008BEB2C" w14:textId="77777777" w:rsidR="00B52677" w:rsidRPr="009E67A1" w:rsidRDefault="00B22928" w:rsidP="00633E0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2"/>
              </w:rPr>
            </w:pPr>
            <w:r w:rsidRPr="009E67A1">
              <w:rPr>
                <w:rFonts w:ascii="Arial" w:hAnsi="Arial" w:cs="Arial"/>
                <w:color w:val="010000"/>
                <w:sz w:val="20"/>
              </w:rPr>
              <w:t>288,000,000</w:t>
            </w:r>
          </w:p>
        </w:tc>
      </w:tr>
    </w:tbl>
    <w:p w14:paraId="5F0D31FC"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In which:</w:t>
      </w:r>
    </w:p>
    <w:p w14:paraId="18437F08" w14:textId="77777777" w:rsidR="00B52677" w:rsidRPr="009E67A1" w:rsidRDefault="00B22928" w:rsidP="00633E08">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Remunerations paid to executive members of the Board of Directors and the Supervisory Board members are accounted for in general administrative expenses and excluded when calculating </w:t>
      </w:r>
      <w:r w:rsidRPr="009E67A1">
        <w:rPr>
          <w:rFonts w:ascii="Arial" w:hAnsi="Arial" w:cs="Arial"/>
          <w:color w:val="010000"/>
          <w:sz w:val="20"/>
        </w:rPr>
        <w:lastRenderedPageBreak/>
        <w:t>corporate income tax.</w:t>
      </w:r>
    </w:p>
    <w:p w14:paraId="706D160B" w14:textId="77777777" w:rsidR="00B52677" w:rsidRPr="009E67A1" w:rsidRDefault="00B22928" w:rsidP="00633E08">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Remunerations paid to non-executive members of the Board of Directors and the Supervisory Board are accounted for in general administrative expenses.</w:t>
      </w:r>
    </w:p>
    <w:p w14:paraId="23F3906B" w14:textId="77777777" w:rsidR="00B52677" w:rsidRPr="009E67A1" w:rsidRDefault="00B22928" w:rsidP="00633E08">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For executive members of the Board of Directors (if any), the salary and bonus regime of the Company is applied.</w:t>
      </w:r>
    </w:p>
    <w:p w14:paraId="51F82C6A"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‎‎Article 7. Approve the list of independent audit companies to prioritize consideration and selection for the Financial Statements 2024.</w:t>
      </w:r>
    </w:p>
    <w:p w14:paraId="38CCCCA7" w14:textId="77777777" w:rsidR="00B52677" w:rsidRPr="009E67A1" w:rsidRDefault="00B22928" w:rsidP="00633E08">
      <w:pPr>
        <w:numPr>
          <w:ilvl w:val="0"/>
          <w:numId w:val="3"/>
        </w:numPr>
        <w:pBdr>
          <w:top w:val="nil"/>
          <w:left w:val="nil"/>
          <w:bottom w:val="nil"/>
          <w:right w:val="nil"/>
          <w:between w:val="nil"/>
        </w:pBdr>
        <w:tabs>
          <w:tab w:val="left" w:pos="284"/>
          <w:tab w:val="left" w:pos="1050"/>
        </w:tabs>
        <w:spacing w:after="120" w:line="360" w:lineRule="auto"/>
        <w:jc w:val="both"/>
        <w:rPr>
          <w:rFonts w:ascii="Arial" w:eastAsia="Arial" w:hAnsi="Arial" w:cs="Arial"/>
          <w:color w:val="010000"/>
          <w:sz w:val="20"/>
          <w:szCs w:val="22"/>
        </w:rPr>
      </w:pPr>
      <w:r w:rsidRPr="009E67A1">
        <w:rPr>
          <w:rFonts w:ascii="Arial" w:hAnsi="Arial" w:cs="Arial"/>
          <w:color w:val="010000"/>
          <w:sz w:val="20"/>
        </w:rPr>
        <w:t>List of selected audit companies</w:t>
      </w:r>
    </w:p>
    <w:p w14:paraId="23D3FCF5" w14:textId="77777777" w:rsidR="00B52677" w:rsidRPr="009E67A1" w:rsidRDefault="00B22928" w:rsidP="00633E08">
      <w:pPr>
        <w:numPr>
          <w:ilvl w:val="0"/>
          <w:numId w:val="5"/>
        </w:numPr>
        <w:pBdr>
          <w:top w:val="nil"/>
          <w:left w:val="nil"/>
          <w:bottom w:val="nil"/>
          <w:right w:val="nil"/>
          <w:between w:val="nil"/>
        </w:pBdr>
        <w:tabs>
          <w:tab w:val="left" w:pos="284"/>
          <w:tab w:val="left" w:pos="1050"/>
        </w:tabs>
        <w:spacing w:after="120" w:line="360" w:lineRule="auto"/>
        <w:jc w:val="both"/>
        <w:rPr>
          <w:rFonts w:ascii="Arial" w:eastAsia="Arial" w:hAnsi="Arial" w:cs="Arial"/>
          <w:color w:val="010000"/>
          <w:sz w:val="20"/>
          <w:szCs w:val="22"/>
        </w:rPr>
      </w:pPr>
      <w:r w:rsidRPr="009E67A1">
        <w:rPr>
          <w:rFonts w:ascii="Arial" w:hAnsi="Arial" w:cs="Arial"/>
          <w:color w:val="010000"/>
          <w:sz w:val="20"/>
        </w:rPr>
        <w:t>CPA Vietnam Auditing Company Limited.</w:t>
      </w:r>
    </w:p>
    <w:p w14:paraId="169C1820" w14:textId="77777777" w:rsidR="00B52677" w:rsidRPr="009E67A1" w:rsidRDefault="00B22928" w:rsidP="00633E08">
      <w:pPr>
        <w:numPr>
          <w:ilvl w:val="0"/>
          <w:numId w:val="5"/>
        </w:numPr>
        <w:pBdr>
          <w:top w:val="nil"/>
          <w:left w:val="nil"/>
          <w:bottom w:val="nil"/>
          <w:right w:val="nil"/>
          <w:between w:val="nil"/>
        </w:pBdr>
        <w:tabs>
          <w:tab w:val="left" w:pos="284"/>
          <w:tab w:val="left" w:pos="1050"/>
        </w:tabs>
        <w:spacing w:after="120" w:line="360" w:lineRule="auto"/>
        <w:jc w:val="both"/>
        <w:rPr>
          <w:rFonts w:ascii="Arial" w:eastAsia="Arial" w:hAnsi="Arial" w:cs="Arial"/>
          <w:color w:val="010000"/>
          <w:sz w:val="20"/>
          <w:szCs w:val="22"/>
        </w:rPr>
      </w:pPr>
      <w:r w:rsidRPr="009E67A1">
        <w:rPr>
          <w:rFonts w:ascii="Arial" w:hAnsi="Arial" w:cs="Arial"/>
          <w:color w:val="010000"/>
          <w:sz w:val="20"/>
        </w:rPr>
        <w:t>A&amp;C Auditing and Consulting Company Limited in Hanoi.</w:t>
      </w:r>
    </w:p>
    <w:p w14:paraId="7D564449" w14:textId="77777777" w:rsidR="00B52677" w:rsidRPr="009E67A1" w:rsidRDefault="00B22928" w:rsidP="00633E08">
      <w:pPr>
        <w:numPr>
          <w:ilvl w:val="0"/>
          <w:numId w:val="5"/>
        </w:numPr>
        <w:pBdr>
          <w:top w:val="nil"/>
          <w:left w:val="nil"/>
          <w:bottom w:val="nil"/>
          <w:right w:val="nil"/>
          <w:between w:val="nil"/>
        </w:pBdr>
        <w:tabs>
          <w:tab w:val="left" w:pos="284"/>
          <w:tab w:val="left" w:pos="1050"/>
        </w:tabs>
        <w:spacing w:after="120" w:line="360" w:lineRule="auto"/>
        <w:jc w:val="both"/>
        <w:rPr>
          <w:rFonts w:ascii="Arial" w:eastAsia="Arial" w:hAnsi="Arial" w:cs="Arial"/>
          <w:color w:val="010000"/>
          <w:sz w:val="20"/>
          <w:szCs w:val="22"/>
        </w:rPr>
      </w:pPr>
      <w:r w:rsidRPr="009E67A1">
        <w:rPr>
          <w:rFonts w:ascii="Arial" w:hAnsi="Arial" w:cs="Arial"/>
          <w:color w:val="010000"/>
          <w:sz w:val="20"/>
        </w:rPr>
        <w:t>Ernst &amp; Young Viet Nam Limited.</w:t>
      </w:r>
    </w:p>
    <w:p w14:paraId="71869B5A" w14:textId="030ACBD4" w:rsidR="00B52677" w:rsidRPr="009E67A1" w:rsidRDefault="00B22928" w:rsidP="00633E08">
      <w:pPr>
        <w:numPr>
          <w:ilvl w:val="0"/>
          <w:numId w:val="3"/>
        </w:numPr>
        <w:pBdr>
          <w:top w:val="nil"/>
          <w:left w:val="nil"/>
          <w:bottom w:val="nil"/>
          <w:right w:val="nil"/>
          <w:between w:val="nil"/>
        </w:pBdr>
        <w:tabs>
          <w:tab w:val="left" w:pos="284"/>
          <w:tab w:val="left" w:pos="1050"/>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Authorize the Board of Directors to consider and decide on one of the companies mentioned above to audit the Company's Financial Statements </w:t>
      </w:r>
      <w:r w:rsidR="00633E08">
        <w:rPr>
          <w:rFonts w:ascii="Arial" w:hAnsi="Arial" w:cs="Arial"/>
          <w:color w:val="010000"/>
          <w:sz w:val="20"/>
        </w:rPr>
        <w:t xml:space="preserve">for </w:t>
      </w:r>
      <w:r w:rsidRPr="009E67A1">
        <w:rPr>
          <w:rFonts w:ascii="Arial" w:hAnsi="Arial" w:cs="Arial"/>
          <w:color w:val="010000"/>
          <w:sz w:val="20"/>
        </w:rPr>
        <w:t>2024.</w:t>
      </w:r>
    </w:p>
    <w:p w14:paraId="5402CF32"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‎‎Article 8. Approve the Audited Report on capital use of the share offering to existing shareholders.</w:t>
      </w:r>
    </w:p>
    <w:p w14:paraId="0AD3829D" w14:textId="503A3864"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‎‎Article 9. Approve the plan to transfer the share trading registration of Investment and Construction Joint Stock Company No.4 on </w:t>
      </w:r>
      <w:proofErr w:type="spellStart"/>
      <w:r w:rsidRPr="009E67A1">
        <w:rPr>
          <w:rFonts w:ascii="Arial" w:hAnsi="Arial" w:cs="Arial"/>
          <w:color w:val="010000"/>
          <w:sz w:val="20"/>
        </w:rPr>
        <w:t>Upcom</w:t>
      </w:r>
      <w:proofErr w:type="spellEnd"/>
      <w:r w:rsidRPr="009E67A1">
        <w:rPr>
          <w:rFonts w:ascii="Arial" w:hAnsi="Arial" w:cs="Arial"/>
          <w:color w:val="010000"/>
          <w:sz w:val="20"/>
        </w:rPr>
        <w:t xml:space="preserve"> Exchange to share listing on </w:t>
      </w:r>
      <w:r w:rsidR="00633E08">
        <w:rPr>
          <w:rFonts w:ascii="Arial" w:hAnsi="Arial" w:cs="Arial"/>
          <w:color w:val="010000"/>
          <w:sz w:val="20"/>
        </w:rPr>
        <w:t xml:space="preserve">the </w:t>
      </w:r>
      <w:r w:rsidRPr="009E67A1">
        <w:rPr>
          <w:rFonts w:ascii="Arial" w:hAnsi="Arial" w:cs="Arial"/>
          <w:color w:val="010000"/>
          <w:sz w:val="20"/>
        </w:rPr>
        <w:t>Hanoi Stock Exchange.</w:t>
      </w:r>
    </w:p>
    <w:p w14:paraId="6F468584" w14:textId="64922CE5" w:rsidR="00B52677" w:rsidRPr="009E67A1" w:rsidRDefault="00B22928" w:rsidP="00633E08">
      <w:pPr>
        <w:numPr>
          <w:ilvl w:val="0"/>
          <w:numId w:val="7"/>
        </w:numPr>
        <w:pBdr>
          <w:top w:val="nil"/>
          <w:left w:val="nil"/>
          <w:bottom w:val="nil"/>
          <w:right w:val="nil"/>
          <w:between w:val="nil"/>
        </w:pBdr>
        <w:tabs>
          <w:tab w:val="left" w:pos="284"/>
          <w:tab w:val="left" w:pos="888"/>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Cancel the share trading registration of Investment and Construction Joint Stock Company No. 4 on </w:t>
      </w:r>
      <w:proofErr w:type="spellStart"/>
      <w:r w:rsidRPr="009E67A1">
        <w:rPr>
          <w:rFonts w:ascii="Arial" w:hAnsi="Arial" w:cs="Arial"/>
          <w:color w:val="010000"/>
          <w:sz w:val="20"/>
        </w:rPr>
        <w:t>Upcom</w:t>
      </w:r>
      <w:proofErr w:type="spellEnd"/>
      <w:r w:rsidRPr="009E67A1">
        <w:rPr>
          <w:rFonts w:ascii="Arial" w:hAnsi="Arial" w:cs="Arial"/>
          <w:color w:val="010000"/>
          <w:sz w:val="20"/>
        </w:rPr>
        <w:t xml:space="preserve"> Exchange to share listing on </w:t>
      </w:r>
      <w:r w:rsidR="00633E08">
        <w:rPr>
          <w:rFonts w:ascii="Arial" w:hAnsi="Arial" w:cs="Arial"/>
          <w:color w:val="010000"/>
          <w:sz w:val="20"/>
        </w:rPr>
        <w:t xml:space="preserve">the </w:t>
      </w:r>
      <w:r w:rsidRPr="009E67A1">
        <w:rPr>
          <w:rFonts w:ascii="Arial" w:hAnsi="Arial" w:cs="Arial"/>
          <w:color w:val="010000"/>
          <w:sz w:val="20"/>
        </w:rPr>
        <w:t>Hanoi Stock Exchange.</w:t>
      </w:r>
    </w:p>
    <w:p w14:paraId="7F7D19E7" w14:textId="77777777" w:rsidR="00B52677" w:rsidRPr="009E67A1" w:rsidRDefault="00B22928" w:rsidP="00633E08">
      <w:pPr>
        <w:numPr>
          <w:ilvl w:val="0"/>
          <w:numId w:val="7"/>
        </w:numPr>
        <w:pBdr>
          <w:top w:val="nil"/>
          <w:left w:val="nil"/>
          <w:bottom w:val="nil"/>
          <w:right w:val="nil"/>
          <w:between w:val="nil"/>
        </w:pBdr>
        <w:tabs>
          <w:tab w:val="left" w:pos="284"/>
          <w:tab w:val="left" w:pos="871"/>
        </w:tabs>
        <w:spacing w:after="120" w:line="360" w:lineRule="auto"/>
        <w:jc w:val="both"/>
        <w:rPr>
          <w:rFonts w:ascii="Arial" w:eastAsia="Arial" w:hAnsi="Arial" w:cs="Arial"/>
          <w:color w:val="010000"/>
          <w:sz w:val="20"/>
          <w:szCs w:val="22"/>
        </w:rPr>
      </w:pPr>
      <w:r w:rsidRPr="009E67A1">
        <w:rPr>
          <w:rFonts w:ascii="Arial" w:hAnsi="Arial" w:cs="Arial"/>
          <w:color w:val="010000"/>
          <w:sz w:val="20"/>
        </w:rPr>
        <w:t>Securities code: CC4.</w:t>
      </w:r>
    </w:p>
    <w:p w14:paraId="7D57A3FB" w14:textId="77777777" w:rsidR="00B52677" w:rsidRPr="009E67A1" w:rsidRDefault="00B22928" w:rsidP="00633E08">
      <w:pPr>
        <w:numPr>
          <w:ilvl w:val="0"/>
          <w:numId w:val="7"/>
        </w:numPr>
        <w:pBdr>
          <w:top w:val="nil"/>
          <w:left w:val="nil"/>
          <w:bottom w:val="nil"/>
          <w:right w:val="nil"/>
          <w:between w:val="nil"/>
        </w:pBdr>
        <w:tabs>
          <w:tab w:val="left" w:pos="284"/>
          <w:tab w:val="left" w:pos="871"/>
        </w:tabs>
        <w:spacing w:after="120" w:line="360" w:lineRule="auto"/>
        <w:jc w:val="both"/>
        <w:rPr>
          <w:rFonts w:ascii="Arial" w:eastAsia="Arial" w:hAnsi="Arial" w:cs="Arial"/>
          <w:color w:val="010000"/>
          <w:sz w:val="20"/>
          <w:szCs w:val="22"/>
        </w:rPr>
      </w:pPr>
      <w:r w:rsidRPr="009E67A1">
        <w:rPr>
          <w:rFonts w:ascii="Arial" w:hAnsi="Arial" w:cs="Arial"/>
          <w:color w:val="010000"/>
          <w:sz w:val="20"/>
        </w:rPr>
        <w:t>Securities type: Common shares.</w:t>
      </w:r>
    </w:p>
    <w:p w14:paraId="263AD822" w14:textId="77777777" w:rsidR="00B52677" w:rsidRPr="009E67A1" w:rsidRDefault="00B22928" w:rsidP="00633E08">
      <w:pPr>
        <w:numPr>
          <w:ilvl w:val="0"/>
          <w:numId w:val="7"/>
        </w:numPr>
        <w:pBdr>
          <w:top w:val="nil"/>
          <w:left w:val="nil"/>
          <w:bottom w:val="nil"/>
          <w:right w:val="nil"/>
          <w:between w:val="nil"/>
        </w:pBdr>
        <w:tabs>
          <w:tab w:val="left" w:pos="284"/>
          <w:tab w:val="left" w:pos="878"/>
        </w:tabs>
        <w:spacing w:after="120" w:line="360" w:lineRule="auto"/>
        <w:jc w:val="both"/>
        <w:rPr>
          <w:rFonts w:ascii="Arial" w:eastAsia="Arial" w:hAnsi="Arial" w:cs="Arial"/>
          <w:color w:val="010000"/>
          <w:sz w:val="20"/>
          <w:szCs w:val="22"/>
        </w:rPr>
      </w:pPr>
      <w:r w:rsidRPr="009E67A1">
        <w:rPr>
          <w:rFonts w:ascii="Arial" w:hAnsi="Arial" w:cs="Arial"/>
          <w:color w:val="010000"/>
          <w:sz w:val="20"/>
        </w:rPr>
        <w:t>Par value: VND 10,000/share.</w:t>
      </w:r>
    </w:p>
    <w:p w14:paraId="3A82653F" w14:textId="56D1327E" w:rsidR="00B52677" w:rsidRPr="009E67A1" w:rsidRDefault="00B22928" w:rsidP="00633E08">
      <w:pPr>
        <w:numPr>
          <w:ilvl w:val="0"/>
          <w:numId w:val="7"/>
        </w:numPr>
        <w:pBdr>
          <w:top w:val="nil"/>
          <w:left w:val="nil"/>
          <w:bottom w:val="nil"/>
          <w:right w:val="nil"/>
          <w:between w:val="nil"/>
        </w:pBdr>
        <w:tabs>
          <w:tab w:val="left" w:pos="284"/>
          <w:tab w:val="left" w:pos="895"/>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Number of shares registered for listing: All shares issued by the Company up to the point of exchange transfer registration for the listing of CC4 shares on </w:t>
      </w:r>
      <w:r w:rsidR="00633E08">
        <w:rPr>
          <w:rFonts w:ascii="Arial" w:hAnsi="Arial" w:cs="Arial"/>
          <w:color w:val="010000"/>
          <w:sz w:val="20"/>
        </w:rPr>
        <w:t xml:space="preserve">the </w:t>
      </w:r>
      <w:r w:rsidRPr="009E67A1">
        <w:rPr>
          <w:rFonts w:ascii="Arial" w:hAnsi="Arial" w:cs="Arial"/>
          <w:color w:val="010000"/>
          <w:sz w:val="20"/>
        </w:rPr>
        <w:t>Hanoi Stock Exchange.</w:t>
      </w:r>
    </w:p>
    <w:p w14:paraId="3772F402" w14:textId="77777777" w:rsidR="00B52677" w:rsidRPr="009E67A1" w:rsidRDefault="00B22928" w:rsidP="00633E08">
      <w:pPr>
        <w:numPr>
          <w:ilvl w:val="0"/>
          <w:numId w:val="7"/>
        </w:numPr>
        <w:pBdr>
          <w:top w:val="nil"/>
          <w:left w:val="nil"/>
          <w:bottom w:val="nil"/>
          <w:right w:val="nil"/>
          <w:between w:val="nil"/>
        </w:pBdr>
        <w:tabs>
          <w:tab w:val="left" w:pos="284"/>
          <w:tab w:val="left" w:pos="878"/>
        </w:tabs>
        <w:spacing w:after="120" w:line="360" w:lineRule="auto"/>
        <w:jc w:val="both"/>
        <w:rPr>
          <w:rFonts w:ascii="Arial" w:eastAsia="Arial" w:hAnsi="Arial" w:cs="Arial"/>
          <w:color w:val="010000"/>
          <w:sz w:val="20"/>
          <w:szCs w:val="22"/>
        </w:rPr>
      </w:pPr>
      <w:r w:rsidRPr="009E67A1">
        <w:rPr>
          <w:rFonts w:ascii="Arial" w:hAnsi="Arial" w:cs="Arial"/>
          <w:color w:val="010000"/>
          <w:sz w:val="20"/>
        </w:rPr>
        <w:t>Expected time to submit listing registration dossiers: 2024 and/or 2025.</w:t>
      </w:r>
    </w:p>
    <w:p w14:paraId="5007CD90" w14:textId="77777777" w:rsidR="00B52677" w:rsidRPr="009E67A1" w:rsidRDefault="00B22928" w:rsidP="00633E08">
      <w:pPr>
        <w:numPr>
          <w:ilvl w:val="0"/>
          <w:numId w:val="7"/>
        </w:numPr>
        <w:pBdr>
          <w:top w:val="nil"/>
          <w:left w:val="nil"/>
          <w:bottom w:val="nil"/>
          <w:right w:val="nil"/>
          <w:between w:val="nil"/>
        </w:pBdr>
        <w:tabs>
          <w:tab w:val="left" w:pos="284"/>
          <w:tab w:val="left" w:pos="878"/>
        </w:tabs>
        <w:spacing w:after="120" w:line="360" w:lineRule="auto"/>
        <w:jc w:val="both"/>
        <w:rPr>
          <w:rFonts w:ascii="Arial" w:eastAsia="Arial" w:hAnsi="Arial" w:cs="Arial"/>
          <w:color w:val="010000"/>
          <w:sz w:val="20"/>
          <w:szCs w:val="22"/>
        </w:rPr>
      </w:pPr>
      <w:r w:rsidRPr="009E67A1">
        <w:rPr>
          <w:rFonts w:ascii="Arial" w:hAnsi="Arial" w:cs="Arial"/>
          <w:color w:val="010000"/>
          <w:sz w:val="20"/>
        </w:rPr>
        <w:t>The General Meeting of Shareholders authorized the Board of Directors to:</w:t>
      </w:r>
    </w:p>
    <w:p w14:paraId="5665E92C" w14:textId="77777777" w:rsidR="00B52677" w:rsidRPr="009E67A1" w:rsidRDefault="00B22928" w:rsidP="00633E08">
      <w:pPr>
        <w:numPr>
          <w:ilvl w:val="0"/>
          <w:numId w:val="8"/>
        </w:numPr>
        <w:pBdr>
          <w:top w:val="nil"/>
          <w:left w:val="nil"/>
          <w:bottom w:val="nil"/>
          <w:right w:val="nil"/>
          <w:between w:val="nil"/>
        </w:pBdr>
        <w:tabs>
          <w:tab w:val="left" w:pos="284"/>
          <w:tab w:val="left" w:pos="909"/>
        </w:tabs>
        <w:spacing w:after="120" w:line="360" w:lineRule="auto"/>
        <w:jc w:val="both"/>
        <w:rPr>
          <w:rFonts w:ascii="Arial" w:eastAsia="Arial" w:hAnsi="Arial" w:cs="Arial"/>
          <w:color w:val="010000"/>
          <w:sz w:val="20"/>
          <w:szCs w:val="22"/>
        </w:rPr>
      </w:pPr>
      <w:r w:rsidRPr="009E67A1">
        <w:rPr>
          <w:rFonts w:ascii="Arial" w:hAnsi="Arial" w:cs="Arial"/>
          <w:color w:val="010000"/>
          <w:sz w:val="20"/>
        </w:rPr>
        <w:t>Decide on the time to change the share listing exchange when Investment and Construction Joint Stock Company No. 4 meets the conditions for share listing according to the provisions of law;</w:t>
      </w:r>
    </w:p>
    <w:p w14:paraId="1EAF315A" w14:textId="77777777" w:rsidR="00B52677" w:rsidRPr="009E67A1" w:rsidRDefault="00B22928" w:rsidP="00633E08">
      <w:pPr>
        <w:numPr>
          <w:ilvl w:val="0"/>
          <w:numId w:val="8"/>
        </w:numPr>
        <w:pBdr>
          <w:top w:val="nil"/>
          <w:left w:val="nil"/>
          <w:bottom w:val="nil"/>
          <w:right w:val="nil"/>
          <w:between w:val="nil"/>
        </w:pBdr>
        <w:tabs>
          <w:tab w:val="left" w:pos="284"/>
          <w:tab w:val="left" w:pos="387"/>
        </w:tabs>
        <w:spacing w:after="120" w:line="360" w:lineRule="auto"/>
        <w:jc w:val="both"/>
        <w:rPr>
          <w:rFonts w:ascii="Arial" w:eastAsia="Arial" w:hAnsi="Arial" w:cs="Arial"/>
          <w:color w:val="010000"/>
          <w:sz w:val="20"/>
          <w:szCs w:val="22"/>
        </w:rPr>
      </w:pPr>
      <w:r w:rsidRPr="009E67A1">
        <w:rPr>
          <w:rFonts w:ascii="Arial" w:hAnsi="Arial" w:cs="Arial"/>
          <w:color w:val="010000"/>
          <w:sz w:val="20"/>
        </w:rPr>
        <w:t>Decide and select listing time, listing price, and first trading date on HNX;</w:t>
      </w:r>
    </w:p>
    <w:p w14:paraId="4205008B" w14:textId="42EA1BB0" w:rsidR="00B52677" w:rsidRPr="009E67A1" w:rsidRDefault="00B22928" w:rsidP="00633E08">
      <w:pPr>
        <w:numPr>
          <w:ilvl w:val="0"/>
          <w:numId w:val="8"/>
        </w:numPr>
        <w:pBdr>
          <w:top w:val="nil"/>
          <w:left w:val="nil"/>
          <w:bottom w:val="nil"/>
          <w:right w:val="nil"/>
          <w:between w:val="nil"/>
        </w:pBdr>
        <w:tabs>
          <w:tab w:val="left" w:pos="284"/>
          <w:tab w:val="left" w:pos="920"/>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Perform necessary procedures, complete registration dossiers for the listing of CC4 shares on </w:t>
      </w:r>
      <w:r w:rsidR="00633E08">
        <w:rPr>
          <w:rFonts w:ascii="Arial" w:hAnsi="Arial" w:cs="Arial"/>
          <w:color w:val="010000"/>
          <w:sz w:val="20"/>
        </w:rPr>
        <w:t xml:space="preserve">the </w:t>
      </w:r>
      <w:r w:rsidRPr="009E67A1">
        <w:rPr>
          <w:rFonts w:ascii="Arial" w:hAnsi="Arial" w:cs="Arial"/>
          <w:color w:val="010000"/>
          <w:sz w:val="20"/>
        </w:rPr>
        <w:t xml:space="preserve">Hanoi Stock Exchange, and complete procedures for transferring </w:t>
      </w:r>
      <w:r w:rsidR="00633E08">
        <w:rPr>
          <w:rFonts w:ascii="Arial" w:hAnsi="Arial" w:cs="Arial"/>
          <w:color w:val="010000"/>
          <w:sz w:val="20"/>
        </w:rPr>
        <w:t xml:space="preserve">the </w:t>
      </w:r>
      <w:r w:rsidRPr="009E67A1">
        <w:rPr>
          <w:rFonts w:ascii="Arial" w:hAnsi="Arial" w:cs="Arial"/>
          <w:color w:val="010000"/>
          <w:sz w:val="20"/>
        </w:rPr>
        <w:t xml:space="preserve">exchange of CC4 shares from </w:t>
      </w:r>
      <w:proofErr w:type="spellStart"/>
      <w:r w:rsidRPr="009E67A1">
        <w:rPr>
          <w:rFonts w:ascii="Arial" w:hAnsi="Arial" w:cs="Arial"/>
          <w:color w:val="010000"/>
          <w:sz w:val="20"/>
        </w:rPr>
        <w:t>Upcom</w:t>
      </w:r>
      <w:proofErr w:type="spellEnd"/>
      <w:r w:rsidRPr="009E67A1">
        <w:rPr>
          <w:rFonts w:ascii="Arial" w:hAnsi="Arial" w:cs="Arial"/>
          <w:color w:val="010000"/>
          <w:sz w:val="20"/>
        </w:rPr>
        <w:t xml:space="preserve"> to listing on HNX. This includes but </w:t>
      </w:r>
      <w:r w:rsidR="00633E08">
        <w:rPr>
          <w:rFonts w:ascii="Arial" w:hAnsi="Arial" w:cs="Arial"/>
          <w:color w:val="010000"/>
          <w:sz w:val="20"/>
        </w:rPr>
        <w:t xml:space="preserve">is </w:t>
      </w:r>
      <w:r w:rsidRPr="009E67A1">
        <w:rPr>
          <w:rFonts w:ascii="Arial" w:hAnsi="Arial" w:cs="Arial"/>
          <w:color w:val="010000"/>
          <w:sz w:val="20"/>
        </w:rPr>
        <w:t xml:space="preserve">not limited to registering to list shares on HNX, canceling registration for trading shares on </w:t>
      </w:r>
      <w:proofErr w:type="spellStart"/>
      <w:r w:rsidRPr="009E67A1">
        <w:rPr>
          <w:rFonts w:ascii="Arial" w:hAnsi="Arial" w:cs="Arial"/>
          <w:color w:val="010000"/>
          <w:sz w:val="20"/>
        </w:rPr>
        <w:t>Upcom</w:t>
      </w:r>
      <w:proofErr w:type="spellEnd"/>
      <w:r w:rsidRPr="009E67A1">
        <w:rPr>
          <w:rFonts w:ascii="Arial" w:hAnsi="Arial" w:cs="Arial"/>
          <w:color w:val="010000"/>
          <w:sz w:val="20"/>
        </w:rPr>
        <w:t xml:space="preserve">, </w:t>
      </w:r>
      <w:r w:rsidR="00633E08">
        <w:rPr>
          <w:rFonts w:ascii="Arial" w:hAnsi="Arial" w:cs="Arial"/>
          <w:color w:val="010000"/>
          <w:sz w:val="20"/>
        </w:rPr>
        <w:t xml:space="preserve">and </w:t>
      </w:r>
      <w:bookmarkStart w:id="0" w:name="_GoBack"/>
      <w:bookmarkEnd w:id="0"/>
      <w:r w:rsidRPr="009E67A1">
        <w:rPr>
          <w:rFonts w:ascii="Arial" w:hAnsi="Arial" w:cs="Arial"/>
          <w:color w:val="010000"/>
          <w:sz w:val="20"/>
        </w:rPr>
        <w:t>recording the list of shareholders at Vietnam Securities Depository and Clearing Corporation to change exchange.</w:t>
      </w:r>
    </w:p>
    <w:p w14:paraId="54F2ACD6" w14:textId="77777777" w:rsidR="00B52677" w:rsidRPr="009E67A1" w:rsidRDefault="00B22928" w:rsidP="00633E08">
      <w:pPr>
        <w:numPr>
          <w:ilvl w:val="0"/>
          <w:numId w:val="8"/>
        </w:numPr>
        <w:pBdr>
          <w:top w:val="nil"/>
          <w:left w:val="nil"/>
          <w:bottom w:val="nil"/>
          <w:right w:val="nil"/>
          <w:between w:val="nil"/>
        </w:pBdr>
        <w:tabs>
          <w:tab w:val="left" w:pos="284"/>
          <w:tab w:val="left" w:pos="920"/>
        </w:tabs>
        <w:spacing w:after="120" w:line="360" w:lineRule="auto"/>
        <w:jc w:val="both"/>
        <w:rPr>
          <w:rFonts w:ascii="Arial" w:eastAsia="Arial" w:hAnsi="Arial" w:cs="Arial"/>
          <w:color w:val="010000"/>
          <w:sz w:val="20"/>
          <w:szCs w:val="22"/>
        </w:rPr>
      </w:pPr>
      <w:r w:rsidRPr="009E67A1">
        <w:rPr>
          <w:rFonts w:ascii="Arial" w:hAnsi="Arial" w:cs="Arial"/>
          <w:color w:val="010000"/>
          <w:sz w:val="20"/>
        </w:rPr>
        <w:lastRenderedPageBreak/>
        <w:t xml:space="preserve">Perform other legal procedures as required by relevant authorities to complete the exchange transfer from </w:t>
      </w:r>
      <w:proofErr w:type="spellStart"/>
      <w:r w:rsidRPr="009E67A1">
        <w:rPr>
          <w:rFonts w:ascii="Arial" w:hAnsi="Arial" w:cs="Arial"/>
          <w:color w:val="010000"/>
          <w:sz w:val="20"/>
        </w:rPr>
        <w:t>Upcom</w:t>
      </w:r>
      <w:proofErr w:type="spellEnd"/>
      <w:r w:rsidRPr="009E67A1">
        <w:rPr>
          <w:rFonts w:ascii="Arial" w:hAnsi="Arial" w:cs="Arial"/>
          <w:color w:val="010000"/>
          <w:sz w:val="20"/>
        </w:rPr>
        <w:t xml:space="preserve"> to HNX.</w:t>
      </w:r>
    </w:p>
    <w:p w14:paraId="7CDD6D7F"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‎‎Article 10. Approve amendments and supplements to the Company’s Charter.</w:t>
      </w:r>
    </w:p>
    <w:p w14:paraId="55BEA695"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‎‎Article 11. Approve the dismissal of Mr. Dao Tien Duong as a member of the Board of Directors from May 15, 2024.</w:t>
      </w:r>
    </w:p>
    <w:p w14:paraId="0E098F4E" w14:textId="157E8065"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‎‎Article 12. Approve the dismissal of Ms. Vu Thi </w:t>
      </w:r>
      <w:proofErr w:type="spellStart"/>
      <w:r w:rsidRPr="009E67A1">
        <w:rPr>
          <w:rFonts w:ascii="Arial" w:hAnsi="Arial" w:cs="Arial"/>
          <w:color w:val="010000"/>
          <w:sz w:val="20"/>
        </w:rPr>
        <w:t>Khanh</w:t>
      </w:r>
      <w:proofErr w:type="spellEnd"/>
      <w:r w:rsidR="009E67A1" w:rsidRPr="009E67A1">
        <w:rPr>
          <w:rFonts w:ascii="Arial" w:hAnsi="Arial" w:cs="Arial"/>
          <w:color w:val="010000"/>
          <w:sz w:val="20"/>
        </w:rPr>
        <w:t xml:space="preserve"> Ha</w:t>
      </w:r>
      <w:r w:rsidRPr="009E67A1">
        <w:rPr>
          <w:rFonts w:ascii="Arial" w:hAnsi="Arial" w:cs="Arial"/>
          <w:color w:val="010000"/>
          <w:sz w:val="20"/>
        </w:rPr>
        <w:t xml:space="preserve"> from being a member of the Supervisory Board from May 15, 2024.</w:t>
      </w:r>
    </w:p>
    <w:p w14:paraId="1FCB4967"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‎‎Article 13. Elect Mr. Nguyen Tran Tung as an additional member of the Company's Board of Directors for the 2020-2025 term.</w:t>
      </w:r>
    </w:p>
    <w:p w14:paraId="54CBB262" w14:textId="258116E6"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‎‎Article 14. Elect Mr. Dang </w:t>
      </w:r>
      <w:proofErr w:type="spellStart"/>
      <w:r w:rsidRPr="009E67A1">
        <w:rPr>
          <w:rFonts w:ascii="Arial" w:hAnsi="Arial" w:cs="Arial"/>
          <w:color w:val="010000"/>
          <w:sz w:val="20"/>
        </w:rPr>
        <w:t>Xuan</w:t>
      </w:r>
      <w:proofErr w:type="spellEnd"/>
      <w:r w:rsidRPr="009E67A1">
        <w:rPr>
          <w:rFonts w:ascii="Arial" w:hAnsi="Arial" w:cs="Arial"/>
          <w:color w:val="010000"/>
          <w:sz w:val="20"/>
        </w:rPr>
        <w:t xml:space="preserve"> </w:t>
      </w:r>
      <w:proofErr w:type="spellStart"/>
      <w:r w:rsidRPr="009E67A1">
        <w:rPr>
          <w:rFonts w:ascii="Arial" w:hAnsi="Arial" w:cs="Arial"/>
          <w:color w:val="010000"/>
          <w:sz w:val="20"/>
        </w:rPr>
        <w:t>Hien</w:t>
      </w:r>
      <w:proofErr w:type="spellEnd"/>
      <w:r w:rsidRPr="009E67A1">
        <w:rPr>
          <w:rFonts w:ascii="Arial" w:hAnsi="Arial" w:cs="Arial"/>
          <w:color w:val="010000"/>
          <w:sz w:val="20"/>
        </w:rPr>
        <w:t xml:space="preserve"> as an additional member </w:t>
      </w:r>
      <w:r w:rsidR="009E67A1" w:rsidRPr="009E67A1">
        <w:rPr>
          <w:rFonts w:ascii="Arial" w:hAnsi="Arial" w:cs="Arial"/>
          <w:color w:val="010000"/>
          <w:sz w:val="20"/>
        </w:rPr>
        <w:t>of</w:t>
      </w:r>
      <w:r w:rsidRPr="009E67A1">
        <w:rPr>
          <w:rFonts w:ascii="Arial" w:hAnsi="Arial" w:cs="Arial"/>
          <w:color w:val="010000"/>
          <w:sz w:val="20"/>
        </w:rPr>
        <w:t xml:space="preserve"> the Company's Supervisory Board for the 2020-2025 term.</w:t>
      </w:r>
    </w:p>
    <w:p w14:paraId="25873BC2" w14:textId="77777777" w:rsidR="00B52677" w:rsidRPr="009E67A1" w:rsidRDefault="00B22928" w:rsidP="00633E0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2"/>
        </w:rPr>
      </w:pPr>
      <w:r w:rsidRPr="009E67A1">
        <w:rPr>
          <w:rFonts w:ascii="Arial" w:hAnsi="Arial" w:cs="Arial"/>
          <w:color w:val="010000"/>
          <w:sz w:val="20"/>
        </w:rPr>
        <w:t xml:space="preserve">‎‎Article 15. This General Mandate takes effect from the date of its signing. Members of the Board of Directors, the Supervisory Board, </w:t>
      </w:r>
      <w:proofErr w:type="gramStart"/>
      <w:r w:rsidRPr="009E67A1">
        <w:rPr>
          <w:rFonts w:ascii="Arial" w:hAnsi="Arial" w:cs="Arial"/>
          <w:color w:val="010000"/>
          <w:sz w:val="20"/>
        </w:rPr>
        <w:t>the</w:t>
      </w:r>
      <w:proofErr w:type="gramEnd"/>
      <w:r w:rsidRPr="009E67A1">
        <w:rPr>
          <w:rFonts w:ascii="Arial" w:hAnsi="Arial" w:cs="Arial"/>
          <w:color w:val="010000"/>
          <w:sz w:val="20"/>
        </w:rPr>
        <w:t xml:space="preserve"> Board of Management, affiliated units of the Company, and relevant organizations and individuals are responsible for implementing this General Mandate.</w:t>
      </w:r>
    </w:p>
    <w:sectPr w:rsidR="00B52677" w:rsidRPr="009E67A1" w:rsidSect="00094D1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3E64"/>
    <w:multiLevelType w:val="multilevel"/>
    <w:tmpl w:val="87AAF0F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C793C45"/>
    <w:multiLevelType w:val="multilevel"/>
    <w:tmpl w:val="38CA2F54"/>
    <w:lvl w:ilvl="0">
      <w:start w:val="1"/>
      <w:numFmt w:val="lowerLetter"/>
      <w:lvlText w:val="%1)"/>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29B6454"/>
    <w:multiLevelType w:val="multilevel"/>
    <w:tmpl w:val="DC38D658"/>
    <w:lvl w:ilvl="0">
      <w:start w:val="1"/>
      <w:numFmt w:val="decimal"/>
      <w:lvlText w:val="%1."/>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6FB3FAB"/>
    <w:multiLevelType w:val="multilevel"/>
    <w:tmpl w:val="5532BF04"/>
    <w:lvl w:ilvl="0">
      <w:start w:val="1"/>
      <w:numFmt w:val="lowerLetter"/>
      <w:lvlText w:val="%1)"/>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C576B8C"/>
    <w:multiLevelType w:val="multilevel"/>
    <w:tmpl w:val="E9AC212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9467C2"/>
    <w:multiLevelType w:val="multilevel"/>
    <w:tmpl w:val="EE12ABC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33C3674"/>
    <w:multiLevelType w:val="multilevel"/>
    <w:tmpl w:val="66A68770"/>
    <w:lvl w:ilvl="0">
      <w:start w:val="1"/>
      <w:numFmt w:val="lowerLetter"/>
      <w:lvlText w:val="%1)"/>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0B4149"/>
    <w:multiLevelType w:val="multilevel"/>
    <w:tmpl w:val="9ACCEA56"/>
    <w:lvl w:ilvl="0">
      <w:start w:val="1"/>
      <w:numFmt w:val="decimal"/>
      <w:lvlText w:val="%1."/>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3612195"/>
    <w:multiLevelType w:val="multilevel"/>
    <w:tmpl w:val="BAC25962"/>
    <w:lvl w:ilvl="0">
      <w:start w:val="1"/>
      <w:numFmt w:val="decimal"/>
      <w:lvlText w:val="%1."/>
      <w:lvlJc w:val="left"/>
      <w:pPr>
        <w:ind w:left="0" w:firstLine="0"/>
      </w:pPr>
      <w:rPr>
        <w:rFonts w:ascii="Arial" w:eastAsia="Arial" w:hAnsi="Arial" w:cs="Arial"/>
        <w:b w:val="0"/>
        <w:i w:val="0"/>
        <w:smallCaps w:val="0"/>
        <w:strike w:val="0"/>
        <w:color w:val="000000"/>
        <w:sz w:val="20"/>
        <w:szCs w:val="22"/>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E7C3FB6"/>
    <w:multiLevelType w:val="multilevel"/>
    <w:tmpl w:val="6A3ABB92"/>
    <w:lvl w:ilvl="0">
      <w:start w:val="3"/>
      <w:numFmt w:val="decimal"/>
      <w:lvlText w:val="%1."/>
      <w:lvlJc w:val="left"/>
      <w:pPr>
        <w:ind w:left="0" w:firstLine="0"/>
      </w:pPr>
      <w:rPr>
        <w:rFonts w:ascii="Arial" w:eastAsia="Arial" w:hAnsi="Arial" w:cs="Arial"/>
        <w:b w:val="0"/>
        <w:i w:val="0"/>
        <w:smallCaps w:val="0"/>
        <w:strike w:val="0"/>
        <w:color w:val="000000"/>
        <w:sz w:val="20"/>
        <w:szCs w:val="22"/>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77"/>
    <w:rsid w:val="00094D18"/>
    <w:rsid w:val="00306271"/>
    <w:rsid w:val="00633E08"/>
    <w:rsid w:val="009E67A1"/>
    <w:rsid w:val="00B22928"/>
    <w:rsid w:val="00B52677"/>
    <w:rsid w:val="00CE42C4"/>
    <w:rsid w:val="00EB6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344CB"/>
  <w15:docId w15:val="{BA426FF3-DABC-4F44-86E0-BD51722F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C7F88"/>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b w:val="0"/>
      <w:bCs w:val="0"/>
      <w:i w:val="0"/>
      <w:iCs w:val="0"/>
      <w:smallCaps w:val="0"/>
      <w:strike w:val="0"/>
      <w:sz w:val="11"/>
      <w:szCs w:val="11"/>
      <w:u w:val="none"/>
      <w:shd w:val="clear" w:color="auto" w:fill="auto"/>
    </w:rPr>
  </w:style>
  <w:style w:type="paragraph" w:customStyle="1" w:styleId="Other0">
    <w:name w:val="Other"/>
    <w:basedOn w:val="Normal"/>
    <w:link w:val="Other"/>
    <w:pPr>
      <w:spacing w:line="329"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391" w:lineRule="auto"/>
    </w:pPr>
    <w:rPr>
      <w:rFonts w:ascii="Arial" w:eastAsia="Arial" w:hAnsi="Arial" w:cs="Arial"/>
      <w:color w:val="CC7F88"/>
      <w:sz w:val="15"/>
      <w:szCs w:val="15"/>
    </w:rPr>
  </w:style>
  <w:style w:type="paragraph" w:customStyle="1" w:styleId="Heading11">
    <w:name w:val="Heading #1"/>
    <w:basedOn w:val="Normal"/>
    <w:link w:val="Heading10"/>
    <w:pPr>
      <w:spacing w:line="254" w:lineRule="auto"/>
      <w:ind w:left="210"/>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329"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30">
    <w:name w:val="Body text (3)"/>
    <w:basedOn w:val="Normal"/>
    <w:link w:val="Bodytext3"/>
    <w:pPr>
      <w:ind w:left="1720"/>
    </w:pPr>
    <w:rPr>
      <w:sz w:val="11"/>
      <w:szCs w:val="1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jak8yNwpweAoEEU54slY7oDhcg==">CgMxLjA4AHIhMWRWcFJxNmtRczFOQmRDTzRJWktIVjd5YVV5TEZ2LWZV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1346</Words>
  <Characters>7221</Characters>
  <Application>Microsoft Office Word</Application>
  <DocSecurity>0</DocSecurity>
  <Lines>257</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2024-05-17T03:47:00Z</dcterms:created>
  <dcterms:modified xsi:type="dcterms:W3CDTF">2024-05-21T03:47:00Z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e6cffa4c2fcd54d0be3da47a9f43a0e0d2bfb74e157e2874a1857f65ecb5a362</vt:lpwstr>
  </property>
</Properties>
</file>