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CF97" w14:textId="77777777" w:rsidR="007776EB" w:rsidRPr="006C6F11" w:rsidRDefault="009B160C" w:rsidP="006C6F11">
      <w:pPr>
        <w:tabs>
          <w:tab w:val="left" w:pos="720"/>
          <w:tab w:val="left" w:pos="1270"/>
        </w:tabs>
        <w:spacing w:after="120" w:line="360" w:lineRule="auto"/>
        <w:jc w:val="both"/>
        <w:rPr>
          <w:rFonts w:ascii="Arial" w:eastAsia="Arial" w:hAnsi="Arial" w:cs="Arial"/>
          <w:b/>
          <w:color w:val="010000"/>
          <w:sz w:val="20"/>
          <w:szCs w:val="20"/>
        </w:rPr>
      </w:pPr>
      <w:r w:rsidRPr="006C6F11">
        <w:rPr>
          <w:rFonts w:ascii="Arial" w:hAnsi="Arial" w:cs="Arial"/>
          <w:b/>
          <w:bCs/>
          <w:color w:val="010000"/>
          <w:sz w:val="20"/>
        </w:rPr>
        <w:t>HD2:</w:t>
      </w:r>
      <w:r w:rsidRPr="006C6F11">
        <w:rPr>
          <w:rFonts w:ascii="Arial" w:hAnsi="Arial" w:cs="Arial"/>
          <w:b/>
          <w:color w:val="010000"/>
          <w:sz w:val="20"/>
        </w:rPr>
        <w:t xml:space="preserve"> Annual General Mandate 2024</w:t>
      </w:r>
    </w:p>
    <w:p w14:paraId="1D3AC7FF" w14:textId="2518C301"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On May 15, 2024, Housing Development Investment Joint Stock Company HUD2 announced </w:t>
      </w:r>
      <w:r w:rsidR="00760B45" w:rsidRPr="006C6F11">
        <w:rPr>
          <w:rFonts w:ascii="Arial" w:hAnsi="Arial" w:cs="Arial"/>
          <w:color w:val="010000"/>
          <w:sz w:val="20"/>
        </w:rPr>
        <w:t>General Mandate</w:t>
      </w:r>
      <w:r w:rsidRPr="006C6F11">
        <w:rPr>
          <w:rFonts w:ascii="Arial" w:hAnsi="Arial" w:cs="Arial"/>
          <w:color w:val="010000"/>
          <w:sz w:val="20"/>
        </w:rPr>
        <w:t xml:space="preserve"> No</w:t>
      </w:r>
      <w:r w:rsidR="00760B45" w:rsidRPr="006C6F11">
        <w:rPr>
          <w:rFonts w:ascii="Arial" w:hAnsi="Arial" w:cs="Arial"/>
          <w:color w:val="010000"/>
          <w:sz w:val="20"/>
        </w:rPr>
        <w:t>.</w:t>
      </w:r>
      <w:r w:rsidRPr="006C6F11">
        <w:rPr>
          <w:rFonts w:ascii="Arial" w:hAnsi="Arial" w:cs="Arial"/>
          <w:color w:val="010000"/>
          <w:sz w:val="20"/>
        </w:rPr>
        <w:t xml:space="preserve"> 01/NQ-DHDCD as follows:</w:t>
      </w:r>
    </w:p>
    <w:p w14:paraId="731749F1"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Article I. Approve the following reports:</w:t>
      </w:r>
    </w:p>
    <w:p w14:paraId="5F7C8741" w14:textId="016AE1CA"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w:t>
      </w:r>
      <w:r w:rsidR="00BA495D" w:rsidRPr="006C6F11">
        <w:rPr>
          <w:rFonts w:ascii="Arial" w:hAnsi="Arial" w:cs="Arial"/>
          <w:color w:val="010000"/>
          <w:sz w:val="20"/>
        </w:rPr>
        <w:t xml:space="preserve"> </w:t>
      </w:r>
      <w:r w:rsidRPr="006C6F11">
        <w:rPr>
          <w:rFonts w:ascii="Arial" w:hAnsi="Arial" w:cs="Arial"/>
          <w:color w:val="010000"/>
          <w:sz w:val="20"/>
        </w:rPr>
        <w:t>Report of the Board of Directors on governance, performance results of the Board of Directors and each member in 2023.</w:t>
      </w:r>
    </w:p>
    <w:p w14:paraId="475DA73F" w14:textId="3E2E8FC5"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w:t>
      </w:r>
      <w:r w:rsidR="00BA495D" w:rsidRPr="006C6F11">
        <w:rPr>
          <w:rFonts w:ascii="Arial" w:hAnsi="Arial" w:cs="Arial"/>
          <w:color w:val="010000"/>
          <w:sz w:val="20"/>
        </w:rPr>
        <w:t xml:space="preserve"> </w:t>
      </w:r>
      <w:r w:rsidRPr="006C6F11">
        <w:rPr>
          <w:rFonts w:ascii="Arial" w:hAnsi="Arial" w:cs="Arial"/>
          <w:color w:val="010000"/>
          <w:sz w:val="20"/>
        </w:rPr>
        <w:t>Report on activities of the Supervisory Board.</w:t>
      </w:r>
    </w:p>
    <w:p w14:paraId="6EE60588"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‎‎Article 2. Approve the production and business results in 2023.</w:t>
      </w:r>
    </w:p>
    <w:p w14:paraId="096F36F5"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Unit: Billion VND</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512"/>
        <w:gridCol w:w="1998"/>
        <w:gridCol w:w="867"/>
        <w:gridCol w:w="753"/>
        <w:gridCol w:w="934"/>
        <w:gridCol w:w="2312"/>
        <w:gridCol w:w="1635"/>
      </w:tblGrid>
      <w:tr w:rsidR="00760B45" w:rsidRPr="006C6F11" w14:paraId="36F38559" w14:textId="77777777" w:rsidTr="006C6F11">
        <w:tc>
          <w:tcPr>
            <w:tcW w:w="284" w:type="pct"/>
            <w:vMerge w:val="restar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0A9C14E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No.</w:t>
            </w:r>
          </w:p>
        </w:tc>
        <w:tc>
          <w:tcPr>
            <w:tcW w:w="1109" w:type="pct"/>
            <w:vMerge w:val="restar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20DB52E4"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Targets</w:t>
            </w:r>
          </w:p>
        </w:tc>
        <w:tc>
          <w:tcPr>
            <w:tcW w:w="481" w:type="pct"/>
            <w:vMerge w:val="restar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1907AE4D" w14:textId="2CB63DF4"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2022 Result</w:t>
            </w:r>
            <w:r w:rsidR="006F2824" w:rsidRPr="006C6F11">
              <w:rPr>
                <w:rFonts w:ascii="Arial" w:hAnsi="Arial" w:cs="Arial"/>
                <w:color w:val="010000"/>
                <w:sz w:val="20"/>
              </w:rPr>
              <w:t>s</w:t>
            </w:r>
          </w:p>
        </w:tc>
        <w:tc>
          <w:tcPr>
            <w:tcW w:w="936" w:type="pct"/>
            <w:gridSpan w:val="2"/>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6B67FA9"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In 2023</w:t>
            </w:r>
          </w:p>
        </w:tc>
        <w:tc>
          <w:tcPr>
            <w:tcW w:w="2190" w:type="pct"/>
            <w:gridSpan w:val="2"/>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324C5F5F" w14:textId="41FDBB7B"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 xml:space="preserve">Comparison </w:t>
            </w:r>
            <w:r w:rsidR="00B367B1" w:rsidRPr="006C6F11">
              <w:rPr>
                <w:rFonts w:ascii="Arial" w:hAnsi="Arial" w:cs="Arial"/>
                <w:color w:val="010000"/>
                <w:sz w:val="20"/>
              </w:rPr>
              <w:t>rate</w:t>
            </w:r>
          </w:p>
        </w:tc>
      </w:tr>
      <w:tr w:rsidR="00760B45" w:rsidRPr="006C6F11" w14:paraId="5AA95160" w14:textId="77777777" w:rsidTr="006C6F11">
        <w:tc>
          <w:tcPr>
            <w:tcW w:w="284" w:type="pct"/>
            <w:vMerge/>
            <w:tcBorders>
              <w:top w:val="single" w:sz="6" w:space="0" w:color="000000"/>
              <w:left w:val="single" w:sz="6" w:space="0" w:color="000000"/>
              <w:bottom w:val="nil"/>
              <w:right w:val="nil"/>
            </w:tcBorders>
            <w:shd w:val="clear" w:color="auto" w:fill="auto"/>
            <w:tcMar>
              <w:top w:w="100" w:type="dxa"/>
              <w:left w:w="100" w:type="dxa"/>
              <w:bottom w:w="100" w:type="dxa"/>
              <w:right w:w="100" w:type="dxa"/>
            </w:tcMar>
            <w:vAlign w:val="center"/>
          </w:tcPr>
          <w:p w14:paraId="374F65E6" w14:textId="77777777" w:rsidR="007776EB" w:rsidRPr="006C6F11" w:rsidRDefault="007776EB" w:rsidP="006C6F11">
            <w:pPr>
              <w:tabs>
                <w:tab w:val="left" w:pos="720"/>
                <w:tab w:val="left" w:pos="1270"/>
              </w:tabs>
              <w:spacing w:after="120" w:line="360" w:lineRule="auto"/>
              <w:jc w:val="both"/>
              <w:rPr>
                <w:rFonts w:ascii="Arial" w:eastAsia="Arial" w:hAnsi="Arial" w:cs="Arial"/>
                <w:color w:val="010000"/>
                <w:sz w:val="20"/>
                <w:szCs w:val="20"/>
              </w:rPr>
            </w:pPr>
          </w:p>
        </w:tc>
        <w:tc>
          <w:tcPr>
            <w:tcW w:w="1109" w:type="pct"/>
            <w:vMerge/>
            <w:tcBorders>
              <w:top w:val="single" w:sz="6" w:space="0" w:color="000000"/>
              <w:left w:val="single" w:sz="6" w:space="0" w:color="000000"/>
              <w:bottom w:val="nil"/>
              <w:right w:val="nil"/>
            </w:tcBorders>
            <w:shd w:val="clear" w:color="auto" w:fill="auto"/>
            <w:tcMar>
              <w:top w:w="100" w:type="dxa"/>
              <w:left w:w="100" w:type="dxa"/>
              <w:bottom w:w="100" w:type="dxa"/>
              <w:right w:w="100" w:type="dxa"/>
            </w:tcMar>
            <w:vAlign w:val="center"/>
          </w:tcPr>
          <w:p w14:paraId="7C04F5BA" w14:textId="77777777" w:rsidR="007776EB" w:rsidRPr="006C6F11" w:rsidRDefault="007776EB" w:rsidP="006C6F11">
            <w:pPr>
              <w:tabs>
                <w:tab w:val="left" w:pos="720"/>
                <w:tab w:val="left" w:pos="1270"/>
              </w:tabs>
              <w:spacing w:after="120" w:line="360" w:lineRule="auto"/>
              <w:jc w:val="both"/>
              <w:rPr>
                <w:rFonts w:ascii="Arial" w:eastAsia="Arial" w:hAnsi="Arial" w:cs="Arial"/>
                <w:color w:val="010000"/>
                <w:sz w:val="20"/>
                <w:szCs w:val="20"/>
              </w:rPr>
            </w:pPr>
          </w:p>
        </w:tc>
        <w:tc>
          <w:tcPr>
            <w:tcW w:w="481" w:type="pct"/>
            <w:vMerge/>
            <w:tcBorders>
              <w:top w:val="single" w:sz="6" w:space="0" w:color="000000"/>
              <w:left w:val="single" w:sz="6" w:space="0" w:color="000000"/>
              <w:bottom w:val="nil"/>
              <w:right w:val="nil"/>
            </w:tcBorders>
            <w:shd w:val="clear" w:color="auto" w:fill="auto"/>
            <w:tcMar>
              <w:top w:w="100" w:type="dxa"/>
              <w:left w:w="100" w:type="dxa"/>
              <w:bottom w:w="100" w:type="dxa"/>
              <w:right w:w="100" w:type="dxa"/>
            </w:tcMar>
            <w:vAlign w:val="center"/>
          </w:tcPr>
          <w:p w14:paraId="6553E438" w14:textId="77777777" w:rsidR="007776EB" w:rsidRPr="006C6F11" w:rsidRDefault="007776EB" w:rsidP="006C6F11">
            <w:pPr>
              <w:tabs>
                <w:tab w:val="left" w:pos="720"/>
                <w:tab w:val="left" w:pos="1270"/>
              </w:tabs>
              <w:spacing w:after="120" w:line="360" w:lineRule="auto"/>
              <w:jc w:val="both"/>
              <w:rPr>
                <w:rFonts w:ascii="Arial" w:eastAsia="Arial" w:hAnsi="Arial" w:cs="Arial"/>
                <w:color w:val="010000"/>
                <w:sz w:val="20"/>
                <w:szCs w:val="20"/>
              </w:rPr>
            </w:pPr>
          </w:p>
        </w:tc>
        <w:tc>
          <w:tcPr>
            <w:tcW w:w="4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E6717BA"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Plan</w:t>
            </w:r>
          </w:p>
        </w:tc>
        <w:tc>
          <w:tcPr>
            <w:tcW w:w="5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4061D2D" w14:textId="586567C4"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Result</w:t>
            </w:r>
            <w:r w:rsidR="00760B45" w:rsidRPr="006C6F11">
              <w:rPr>
                <w:rFonts w:ascii="Arial" w:hAnsi="Arial" w:cs="Arial"/>
                <w:color w:val="010000"/>
                <w:sz w:val="20"/>
              </w:rPr>
              <w:t>s</w:t>
            </w:r>
          </w:p>
        </w:tc>
        <w:tc>
          <w:tcPr>
            <w:tcW w:w="1283"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699A22AF" w14:textId="400ADD28" w:rsidR="007776EB" w:rsidRPr="006C6F11" w:rsidRDefault="00760B45"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Results20</w:t>
            </w:r>
            <w:r w:rsidR="009B160C" w:rsidRPr="006C6F11">
              <w:rPr>
                <w:rFonts w:ascii="Arial" w:hAnsi="Arial" w:cs="Arial"/>
                <w:color w:val="010000"/>
                <w:sz w:val="20"/>
              </w:rPr>
              <w:t>23/</w:t>
            </w:r>
            <w:r w:rsidRPr="006C6F11">
              <w:rPr>
                <w:rFonts w:ascii="Arial" w:hAnsi="Arial" w:cs="Arial"/>
                <w:color w:val="010000"/>
                <w:sz w:val="20"/>
              </w:rPr>
              <w:t>Plan 20</w:t>
            </w:r>
            <w:r w:rsidR="009B160C" w:rsidRPr="006C6F11">
              <w:rPr>
                <w:rFonts w:ascii="Arial" w:hAnsi="Arial" w:cs="Arial"/>
                <w:color w:val="010000"/>
                <w:sz w:val="20"/>
              </w:rPr>
              <w:t>23</w:t>
            </w:r>
          </w:p>
        </w:tc>
        <w:tc>
          <w:tcPr>
            <w:tcW w:w="907" w:type="pct"/>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59317D86" w14:textId="6E2FA59F" w:rsidR="007776EB" w:rsidRPr="006C6F11" w:rsidRDefault="00760B45"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Results 2023</w:t>
            </w:r>
            <w:r w:rsidR="009B160C" w:rsidRPr="006C6F11">
              <w:rPr>
                <w:rFonts w:ascii="Arial" w:hAnsi="Arial" w:cs="Arial"/>
                <w:color w:val="010000"/>
                <w:sz w:val="20"/>
              </w:rPr>
              <w:t>/</w:t>
            </w:r>
            <w:r w:rsidRPr="006C6F11">
              <w:rPr>
                <w:rFonts w:ascii="Arial" w:hAnsi="Arial" w:cs="Arial"/>
                <w:color w:val="010000"/>
                <w:sz w:val="20"/>
              </w:rPr>
              <w:t>Results 20</w:t>
            </w:r>
            <w:r w:rsidR="009B160C" w:rsidRPr="006C6F11">
              <w:rPr>
                <w:rFonts w:ascii="Arial" w:hAnsi="Arial" w:cs="Arial"/>
                <w:color w:val="010000"/>
                <w:sz w:val="20"/>
              </w:rPr>
              <w:t>22</w:t>
            </w:r>
          </w:p>
        </w:tc>
      </w:tr>
      <w:tr w:rsidR="00760B45" w:rsidRPr="006C6F11" w14:paraId="0EDE6BA6" w14:textId="77777777" w:rsidTr="006C6F11">
        <w:tc>
          <w:tcPr>
            <w:tcW w:w="284"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2CA3A598"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w:t>
            </w:r>
          </w:p>
        </w:tc>
        <w:tc>
          <w:tcPr>
            <w:tcW w:w="1109"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1D148A45" w14:textId="34F1ACD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Production and business value</w:t>
            </w:r>
          </w:p>
        </w:tc>
        <w:tc>
          <w:tcPr>
            <w:tcW w:w="481"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809289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59.5</w:t>
            </w:r>
          </w:p>
        </w:tc>
        <w:tc>
          <w:tcPr>
            <w:tcW w:w="4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2664905"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174.4</w:t>
            </w:r>
          </w:p>
        </w:tc>
        <w:tc>
          <w:tcPr>
            <w:tcW w:w="5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90C38C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38.2</w:t>
            </w:r>
          </w:p>
        </w:tc>
        <w:tc>
          <w:tcPr>
            <w:tcW w:w="1283"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24EC179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21.9%</w:t>
            </w:r>
          </w:p>
        </w:tc>
        <w:tc>
          <w:tcPr>
            <w:tcW w:w="907" w:type="pct"/>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105102A0"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64.2%</w:t>
            </w:r>
          </w:p>
        </w:tc>
      </w:tr>
      <w:tr w:rsidR="00760B45" w:rsidRPr="006C6F11" w14:paraId="3D76555C" w14:textId="77777777" w:rsidTr="006C6F11">
        <w:tc>
          <w:tcPr>
            <w:tcW w:w="284"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05D489A3"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w:t>
            </w:r>
          </w:p>
        </w:tc>
        <w:tc>
          <w:tcPr>
            <w:tcW w:w="1109"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45B0ECE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Investment value </w:t>
            </w:r>
          </w:p>
        </w:tc>
        <w:tc>
          <w:tcPr>
            <w:tcW w:w="481"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2F7C7C8F"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115.9</w:t>
            </w:r>
          </w:p>
        </w:tc>
        <w:tc>
          <w:tcPr>
            <w:tcW w:w="4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5C34759"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67.9</w:t>
            </w:r>
          </w:p>
        </w:tc>
        <w:tc>
          <w:tcPr>
            <w:tcW w:w="5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F95138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37.7</w:t>
            </w:r>
          </w:p>
        </w:tc>
        <w:tc>
          <w:tcPr>
            <w:tcW w:w="1283"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51ACEA0"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55.5%</w:t>
            </w:r>
          </w:p>
        </w:tc>
        <w:tc>
          <w:tcPr>
            <w:tcW w:w="907" w:type="pct"/>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0075ACE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32.5%</w:t>
            </w:r>
          </w:p>
        </w:tc>
      </w:tr>
      <w:tr w:rsidR="00760B45" w:rsidRPr="006C6F11" w14:paraId="16DDCFD3" w14:textId="77777777" w:rsidTr="006C6F11">
        <w:tc>
          <w:tcPr>
            <w:tcW w:w="284"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7FB57C8A"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w:t>
            </w:r>
          </w:p>
        </w:tc>
        <w:tc>
          <w:tcPr>
            <w:tcW w:w="1109"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7077C8CB"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Revenue</w:t>
            </w:r>
          </w:p>
        </w:tc>
        <w:tc>
          <w:tcPr>
            <w:tcW w:w="481"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E5F0DF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47.1</w:t>
            </w:r>
          </w:p>
        </w:tc>
        <w:tc>
          <w:tcPr>
            <w:tcW w:w="4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FA72D5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173.2</w:t>
            </w:r>
          </w:p>
        </w:tc>
        <w:tc>
          <w:tcPr>
            <w:tcW w:w="5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2B846649"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41.6</w:t>
            </w:r>
          </w:p>
        </w:tc>
        <w:tc>
          <w:tcPr>
            <w:tcW w:w="1283"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1154D105"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24.0%</w:t>
            </w:r>
          </w:p>
        </w:tc>
        <w:tc>
          <w:tcPr>
            <w:tcW w:w="907" w:type="pct"/>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7DE35FC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88.3%</w:t>
            </w:r>
          </w:p>
        </w:tc>
      </w:tr>
      <w:tr w:rsidR="00760B45" w:rsidRPr="006C6F11" w14:paraId="05D6F6E5" w14:textId="77777777" w:rsidTr="006C6F11">
        <w:tc>
          <w:tcPr>
            <w:tcW w:w="284"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67AA19A"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4</w:t>
            </w:r>
          </w:p>
        </w:tc>
        <w:tc>
          <w:tcPr>
            <w:tcW w:w="1109"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9966384" w14:textId="3680731F"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before tax</w:t>
            </w:r>
          </w:p>
        </w:tc>
        <w:tc>
          <w:tcPr>
            <w:tcW w:w="481"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59749F3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0.4</w:t>
            </w:r>
          </w:p>
        </w:tc>
        <w:tc>
          <w:tcPr>
            <w:tcW w:w="4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6A0DAA4B"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2.7</w:t>
            </w:r>
          </w:p>
        </w:tc>
        <w:tc>
          <w:tcPr>
            <w:tcW w:w="518"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294AF5D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0.1</w:t>
            </w:r>
          </w:p>
        </w:tc>
        <w:tc>
          <w:tcPr>
            <w:tcW w:w="1283" w:type="pct"/>
            <w:tcBorders>
              <w:top w:val="single" w:sz="6" w:space="0" w:color="000000"/>
              <w:left w:val="single" w:sz="6" w:space="0" w:color="000000"/>
              <w:bottom w:val="nil"/>
              <w:right w:val="nil"/>
            </w:tcBorders>
            <w:shd w:val="clear" w:color="auto" w:fill="auto"/>
            <w:tcMar>
              <w:top w:w="0" w:type="dxa"/>
              <w:left w:w="100" w:type="dxa"/>
              <w:bottom w:w="0" w:type="dxa"/>
              <w:right w:w="100" w:type="dxa"/>
            </w:tcMar>
            <w:vAlign w:val="center"/>
          </w:tcPr>
          <w:p w14:paraId="3BC6C101"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3.7%</w:t>
            </w:r>
          </w:p>
        </w:tc>
        <w:tc>
          <w:tcPr>
            <w:tcW w:w="907" w:type="pct"/>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52E71329"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25.0%</w:t>
            </w:r>
          </w:p>
        </w:tc>
      </w:tr>
      <w:tr w:rsidR="00760B45" w:rsidRPr="006C6F11" w14:paraId="47C3D940" w14:textId="77777777" w:rsidTr="006C6F11">
        <w:tc>
          <w:tcPr>
            <w:tcW w:w="284" w:type="pct"/>
            <w:tcBorders>
              <w:top w:val="single" w:sz="6" w:space="0" w:color="000000"/>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22CA715B"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5</w:t>
            </w:r>
          </w:p>
        </w:tc>
        <w:tc>
          <w:tcPr>
            <w:tcW w:w="1109" w:type="pct"/>
            <w:tcBorders>
              <w:top w:val="single" w:sz="6" w:space="0" w:color="000000"/>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4B6B727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after tax</w:t>
            </w:r>
          </w:p>
        </w:tc>
        <w:tc>
          <w:tcPr>
            <w:tcW w:w="481" w:type="pct"/>
            <w:tcBorders>
              <w:top w:val="single" w:sz="6" w:space="0" w:color="000000"/>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741256B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0.3</w:t>
            </w:r>
          </w:p>
        </w:tc>
        <w:tc>
          <w:tcPr>
            <w:tcW w:w="418" w:type="pct"/>
            <w:tcBorders>
              <w:top w:val="single" w:sz="6" w:space="0" w:color="000000"/>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7E9528A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2.2</w:t>
            </w:r>
          </w:p>
        </w:tc>
        <w:tc>
          <w:tcPr>
            <w:tcW w:w="518" w:type="pct"/>
            <w:tcBorders>
              <w:top w:val="single" w:sz="6" w:space="0" w:color="000000"/>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B468DA1"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0.03</w:t>
            </w:r>
          </w:p>
        </w:tc>
        <w:tc>
          <w:tcPr>
            <w:tcW w:w="1283" w:type="pct"/>
            <w:tcBorders>
              <w:top w:val="single" w:sz="6" w:space="0" w:color="000000"/>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1CB41B0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1.4%</w:t>
            </w:r>
          </w:p>
        </w:tc>
        <w:tc>
          <w:tcPr>
            <w:tcW w:w="907" w:type="pc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47E9917"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10.0%</w:t>
            </w:r>
          </w:p>
        </w:tc>
      </w:tr>
      <w:tr w:rsidR="00760B45" w:rsidRPr="006C6F11" w14:paraId="182B4E2C" w14:textId="77777777" w:rsidTr="006C6F11">
        <w:tc>
          <w:tcPr>
            <w:tcW w:w="284"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F725A8B"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6</w:t>
            </w:r>
          </w:p>
        </w:tc>
        <w:tc>
          <w:tcPr>
            <w:tcW w:w="1109"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21086EB9" w14:textId="78CD3CE2"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Payment to </w:t>
            </w:r>
            <w:r w:rsidR="00583AC0" w:rsidRPr="006C6F11">
              <w:rPr>
                <w:rFonts w:ascii="Arial" w:hAnsi="Arial" w:cs="Arial"/>
                <w:color w:val="010000"/>
                <w:sz w:val="20"/>
              </w:rPr>
              <w:t xml:space="preserve">the state </w:t>
            </w:r>
            <w:r w:rsidRPr="006C6F11">
              <w:rPr>
                <w:rFonts w:ascii="Arial" w:hAnsi="Arial" w:cs="Arial"/>
                <w:color w:val="010000"/>
                <w:sz w:val="20"/>
              </w:rPr>
              <w:t>budget</w:t>
            </w:r>
          </w:p>
        </w:tc>
        <w:tc>
          <w:tcPr>
            <w:tcW w:w="481"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5B8C7C15"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31.3</w:t>
            </w:r>
          </w:p>
        </w:tc>
        <w:tc>
          <w:tcPr>
            <w:tcW w:w="418"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7811968"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1.6</w:t>
            </w:r>
          </w:p>
        </w:tc>
        <w:tc>
          <w:tcPr>
            <w:tcW w:w="518"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6EB87435"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1.2</w:t>
            </w:r>
          </w:p>
        </w:tc>
        <w:tc>
          <w:tcPr>
            <w:tcW w:w="1283"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54F15C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75.0%</w:t>
            </w:r>
          </w:p>
        </w:tc>
        <w:tc>
          <w:tcPr>
            <w:tcW w:w="907"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6027AB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3.8%</w:t>
            </w:r>
          </w:p>
        </w:tc>
      </w:tr>
      <w:tr w:rsidR="00760B45" w:rsidRPr="006C6F11" w14:paraId="73332EB1" w14:textId="77777777" w:rsidTr="006C6F11">
        <w:tc>
          <w:tcPr>
            <w:tcW w:w="284"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5062B99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7</w:t>
            </w:r>
          </w:p>
        </w:tc>
        <w:tc>
          <w:tcPr>
            <w:tcW w:w="1109"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767693E5" w14:textId="74A59505"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Dividend </w:t>
            </w:r>
            <w:r w:rsidR="00760B45" w:rsidRPr="006C6F11">
              <w:rPr>
                <w:rFonts w:ascii="Arial" w:hAnsi="Arial" w:cs="Arial"/>
                <w:color w:val="010000"/>
                <w:sz w:val="20"/>
              </w:rPr>
              <w:t xml:space="preserve">payment rate </w:t>
            </w:r>
            <w:r w:rsidRPr="006C6F11">
              <w:rPr>
                <w:rFonts w:ascii="Arial" w:hAnsi="Arial" w:cs="Arial"/>
                <w:color w:val="010000"/>
                <w:sz w:val="20"/>
              </w:rPr>
              <w:t>(%)</w:t>
            </w:r>
          </w:p>
        </w:tc>
        <w:tc>
          <w:tcPr>
            <w:tcW w:w="481"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E14A151"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w:t>
            </w:r>
          </w:p>
        </w:tc>
        <w:tc>
          <w:tcPr>
            <w:tcW w:w="418"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87D7445"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3-5</w:t>
            </w:r>
          </w:p>
        </w:tc>
        <w:tc>
          <w:tcPr>
            <w:tcW w:w="518"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3FE25EB9"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w:t>
            </w:r>
          </w:p>
        </w:tc>
        <w:tc>
          <w:tcPr>
            <w:tcW w:w="1283" w:type="pct"/>
            <w:tcBorders>
              <w:top w:val="nil"/>
              <w:left w:val="single" w:sz="6" w:space="0" w:color="000000"/>
              <w:bottom w:val="single" w:sz="6" w:space="0" w:color="000000"/>
              <w:right w:val="nil"/>
            </w:tcBorders>
            <w:shd w:val="clear" w:color="auto" w:fill="auto"/>
            <w:tcMar>
              <w:top w:w="0" w:type="dxa"/>
              <w:left w:w="100" w:type="dxa"/>
              <w:bottom w:w="0" w:type="dxa"/>
              <w:right w:w="100" w:type="dxa"/>
            </w:tcMar>
            <w:vAlign w:val="center"/>
          </w:tcPr>
          <w:p w14:paraId="6A58A90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0.0%</w:t>
            </w:r>
          </w:p>
        </w:tc>
        <w:tc>
          <w:tcPr>
            <w:tcW w:w="907"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658AEB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0.0%</w:t>
            </w:r>
          </w:p>
        </w:tc>
      </w:tr>
    </w:tbl>
    <w:p w14:paraId="0D932D7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‎‎Article 3. Approve on the Financial Statements 2023 audited by CPA VIETNAM Auditing Company Limited</w:t>
      </w:r>
    </w:p>
    <w:p w14:paraId="62432CAD"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Unit VND</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071"/>
        <w:gridCol w:w="5125"/>
        <w:gridCol w:w="2815"/>
      </w:tblGrid>
      <w:tr w:rsidR="007776EB" w:rsidRPr="006C6F11" w14:paraId="24BEDAFA" w14:textId="77777777" w:rsidTr="006C6F11">
        <w:tc>
          <w:tcPr>
            <w:tcW w:w="594" w:type="pct"/>
            <w:shd w:val="clear" w:color="auto" w:fill="auto"/>
            <w:tcMar>
              <w:top w:w="0" w:type="dxa"/>
              <w:left w:w="100" w:type="dxa"/>
              <w:bottom w:w="0" w:type="dxa"/>
              <w:right w:w="100" w:type="dxa"/>
            </w:tcMar>
            <w:vAlign w:val="center"/>
          </w:tcPr>
          <w:p w14:paraId="4615E6E1"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No.</w:t>
            </w:r>
          </w:p>
        </w:tc>
        <w:tc>
          <w:tcPr>
            <w:tcW w:w="2844" w:type="pct"/>
            <w:shd w:val="clear" w:color="auto" w:fill="auto"/>
            <w:tcMar>
              <w:top w:w="0" w:type="dxa"/>
              <w:left w:w="100" w:type="dxa"/>
              <w:bottom w:w="0" w:type="dxa"/>
              <w:right w:w="100" w:type="dxa"/>
            </w:tcMar>
            <w:vAlign w:val="center"/>
          </w:tcPr>
          <w:p w14:paraId="51470D25"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Target</w:t>
            </w:r>
          </w:p>
        </w:tc>
        <w:tc>
          <w:tcPr>
            <w:tcW w:w="1562" w:type="pct"/>
            <w:shd w:val="clear" w:color="auto" w:fill="auto"/>
            <w:tcMar>
              <w:top w:w="0" w:type="dxa"/>
              <w:left w:w="100" w:type="dxa"/>
              <w:bottom w:w="0" w:type="dxa"/>
              <w:right w:w="100" w:type="dxa"/>
            </w:tcMar>
            <w:vAlign w:val="center"/>
          </w:tcPr>
          <w:p w14:paraId="2DD02241"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Value at report</w:t>
            </w:r>
          </w:p>
        </w:tc>
      </w:tr>
      <w:tr w:rsidR="007776EB" w:rsidRPr="006C6F11" w14:paraId="7760B7B3" w14:textId="77777777" w:rsidTr="006C6F11">
        <w:tc>
          <w:tcPr>
            <w:tcW w:w="594" w:type="pct"/>
            <w:shd w:val="clear" w:color="auto" w:fill="auto"/>
            <w:tcMar>
              <w:top w:w="0" w:type="dxa"/>
              <w:left w:w="100" w:type="dxa"/>
              <w:bottom w:w="0" w:type="dxa"/>
              <w:right w:w="100" w:type="dxa"/>
            </w:tcMar>
            <w:vAlign w:val="center"/>
          </w:tcPr>
          <w:p w14:paraId="48E3679C"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1</w:t>
            </w:r>
          </w:p>
        </w:tc>
        <w:tc>
          <w:tcPr>
            <w:tcW w:w="2844" w:type="pct"/>
            <w:shd w:val="clear" w:color="auto" w:fill="auto"/>
            <w:tcMar>
              <w:top w:w="0" w:type="dxa"/>
              <w:left w:w="100" w:type="dxa"/>
              <w:bottom w:w="0" w:type="dxa"/>
              <w:right w:w="100" w:type="dxa"/>
            </w:tcMar>
            <w:vAlign w:val="center"/>
          </w:tcPr>
          <w:p w14:paraId="570AADC0"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Total assets (total capital)</w:t>
            </w:r>
          </w:p>
        </w:tc>
        <w:tc>
          <w:tcPr>
            <w:tcW w:w="1562" w:type="pct"/>
            <w:shd w:val="clear" w:color="auto" w:fill="auto"/>
            <w:tcMar>
              <w:top w:w="0" w:type="dxa"/>
              <w:left w:w="100" w:type="dxa"/>
              <w:bottom w:w="0" w:type="dxa"/>
              <w:right w:w="100" w:type="dxa"/>
            </w:tcMar>
            <w:vAlign w:val="center"/>
          </w:tcPr>
          <w:p w14:paraId="4FB89609"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379,267,192,013</w:t>
            </w:r>
          </w:p>
        </w:tc>
      </w:tr>
      <w:tr w:rsidR="007776EB" w:rsidRPr="006C6F11" w14:paraId="72DE06CF" w14:textId="77777777" w:rsidTr="006C6F11">
        <w:tc>
          <w:tcPr>
            <w:tcW w:w="594" w:type="pct"/>
            <w:shd w:val="clear" w:color="auto" w:fill="auto"/>
            <w:tcMar>
              <w:top w:w="0" w:type="dxa"/>
              <w:left w:w="100" w:type="dxa"/>
              <w:bottom w:w="0" w:type="dxa"/>
              <w:right w:w="100" w:type="dxa"/>
            </w:tcMar>
            <w:vAlign w:val="center"/>
          </w:tcPr>
          <w:p w14:paraId="54744576"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2</w:t>
            </w:r>
          </w:p>
        </w:tc>
        <w:tc>
          <w:tcPr>
            <w:tcW w:w="2844" w:type="pct"/>
            <w:shd w:val="clear" w:color="auto" w:fill="auto"/>
            <w:tcMar>
              <w:top w:w="0" w:type="dxa"/>
              <w:left w:w="100" w:type="dxa"/>
              <w:bottom w:w="0" w:type="dxa"/>
              <w:right w:w="100" w:type="dxa"/>
            </w:tcMar>
            <w:vAlign w:val="center"/>
          </w:tcPr>
          <w:p w14:paraId="0B99AE6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Total revenue and other incomes</w:t>
            </w:r>
          </w:p>
        </w:tc>
        <w:tc>
          <w:tcPr>
            <w:tcW w:w="1562" w:type="pct"/>
            <w:shd w:val="clear" w:color="auto" w:fill="auto"/>
            <w:tcMar>
              <w:top w:w="0" w:type="dxa"/>
              <w:left w:w="100" w:type="dxa"/>
              <w:bottom w:w="0" w:type="dxa"/>
              <w:right w:w="100" w:type="dxa"/>
            </w:tcMar>
            <w:vAlign w:val="center"/>
          </w:tcPr>
          <w:p w14:paraId="21C3E2B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41,622,976,195</w:t>
            </w:r>
          </w:p>
        </w:tc>
      </w:tr>
      <w:tr w:rsidR="007776EB" w:rsidRPr="006C6F11" w14:paraId="641E458D" w14:textId="77777777" w:rsidTr="006C6F11">
        <w:tc>
          <w:tcPr>
            <w:tcW w:w="594" w:type="pct"/>
            <w:shd w:val="clear" w:color="auto" w:fill="auto"/>
            <w:tcMar>
              <w:top w:w="0" w:type="dxa"/>
              <w:left w:w="100" w:type="dxa"/>
              <w:bottom w:w="0" w:type="dxa"/>
              <w:right w:w="100" w:type="dxa"/>
            </w:tcMar>
            <w:vAlign w:val="center"/>
          </w:tcPr>
          <w:p w14:paraId="4AB81C19"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3</w:t>
            </w:r>
          </w:p>
        </w:tc>
        <w:tc>
          <w:tcPr>
            <w:tcW w:w="2844" w:type="pct"/>
            <w:shd w:val="clear" w:color="auto" w:fill="auto"/>
            <w:tcMar>
              <w:top w:w="0" w:type="dxa"/>
              <w:left w:w="100" w:type="dxa"/>
              <w:bottom w:w="0" w:type="dxa"/>
              <w:right w:w="100" w:type="dxa"/>
            </w:tcMar>
            <w:vAlign w:val="center"/>
          </w:tcPr>
          <w:p w14:paraId="141AD050" w14:textId="68321BB3"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Total Cost </w:t>
            </w:r>
            <w:r w:rsidR="006F2824" w:rsidRPr="006C6F11">
              <w:rPr>
                <w:rFonts w:ascii="Arial" w:hAnsi="Arial" w:cs="Arial"/>
                <w:color w:val="010000"/>
                <w:sz w:val="20"/>
              </w:rPr>
              <w:t xml:space="preserve">price </w:t>
            </w:r>
            <w:r w:rsidRPr="006C6F11">
              <w:rPr>
                <w:rFonts w:ascii="Arial" w:hAnsi="Arial" w:cs="Arial"/>
                <w:color w:val="010000"/>
                <w:sz w:val="20"/>
              </w:rPr>
              <w:t>and Expenses</w:t>
            </w:r>
          </w:p>
        </w:tc>
        <w:tc>
          <w:tcPr>
            <w:tcW w:w="1562" w:type="pct"/>
            <w:shd w:val="clear" w:color="auto" w:fill="auto"/>
            <w:tcMar>
              <w:top w:w="0" w:type="dxa"/>
              <w:left w:w="100" w:type="dxa"/>
              <w:bottom w:w="0" w:type="dxa"/>
              <w:right w:w="100" w:type="dxa"/>
            </w:tcMar>
            <w:vAlign w:val="center"/>
          </w:tcPr>
          <w:p w14:paraId="63B64FBF"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41,556,142,981</w:t>
            </w:r>
          </w:p>
        </w:tc>
      </w:tr>
      <w:tr w:rsidR="007776EB" w:rsidRPr="006C6F11" w14:paraId="5560FAB7" w14:textId="77777777" w:rsidTr="006C6F11">
        <w:tc>
          <w:tcPr>
            <w:tcW w:w="594" w:type="pct"/>
            <w:shd w:val="clear" w:color="auto" w:fill="auto"/>
            <w:tcMar>
              <w:top w:w="0" w:type="dxa"/>
              <w:left w:w="100" w:type="dxa"/>
              <w:bottom w:w="0" w:type="dxa"/>
              <w:right w:w="100" w:type="dxa"/>
            </w:tcMar>
            <w:vAlign w:val="center"/>
          </w:tcPr>
          <w:p w14:paraId="785F1307"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4</w:t>
            </w:r>
          </w:p>
        </w:tc>
        <w:tc>
          <w:tcPr>
            <w:tcW w:w="2844" w:type="pct"/>
            <w:shd w:val="clear" w:color="auto" w:fill="auto"/>
            <w:tcMar>
              <w:top w:w="0" w:type="dxa"/>
              <w:left w:w="100" w:type="dxa"/>
              <w:bottom w:w="0" w:type="dxa"/>
              <w:right w:w="100" w:type="dxa"/>
            </w:tcMar>
            <w:vAlign w:val="center"/>
          </w:tcPr>
          <w:p w14:paraId="7269E774" w14:textId="0F52E8D1"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before tax</w:t>
            </w:r>
          </w:p>
        </w:tc>
        <w:tc>
          <w:tcPr>
            <w:tcW w:w="1562" w:type="pct"/>
            <w:shd w:val="clear" w:color="auto" w:fill="auto"/>
            <w:tcMar>
              <w:top w:w="0" w:type="dxa"/>
              <w:left w:w="100" w:type="dxa"/>
              <w:bottom w:w="0" w:type="dxa"/>
              <w:right w:w="100" w:type="dxa"/>
            </w:tcMar>
            <w:vAlign w:val="center"/>
          </w:tcPr>
          <w:p w14:paraId="63E14D57"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66,833,214</w:t>
            </w:r>
          </w:p>
        </w:tc>
      </w:tr>
      <w:tr w:rsidR="007776EB" w:rsidRPr="006C6F11" w14:paraId="3A2E06D8" w14:textId="77777777" w:rsidTr="006C6F11">
        <w:tc>
          <w:tcPr>
            <w:tcW w:w="594" w:type="pct"/>
            <w:shd w:val="clear" w:color="auto" w:fill="auto"/>
            <w:tcMar>
              <w:top w:w="0" w:type="dxa"/>
              <w:left w:w="100" w:type="dxa"/>
              <w:bottom w:w="0" w:type="dxa"/>
              <w:right w:w="100" w:type="dxa"/>
            </w:tcMar>
            <w:vAlign w:val="center"/>
          </w:tcPr>
          <w:p w14:paraId="047F1ED8"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lastRenderedPageBreak/>
              <w:t>5</w:t>
            </w:r>
          </w:p>
        </w:tc>
        <w:tc>
          <w:tcPr>
            <w:tcW w:w="2844" w:type="pct"/>
            <w:shd w:val="clear" w:color="auto" w:fill="auto"/>
            <w:tcMar>
              <w:top w:w="0" w:type="dxa"/>
              <w:left w:w="100" w:type="dxa"/>
              <w:bottom w:w="0" w:type="dxa"/>
              <w:right w:w="100" w:type="dxa"/>
            </w:tcMar>
            <w:vAlign w:val="center"/>
          </w:tcPr>
          <w:p w14:paraId="1BCEE83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after tax</w:t>
            </w:r>
          </w:p>
        </w:tc>
        <w:tc>
          <w:tcPr>
            <w:tcW w:w="1562" w:type="pct"/>
            <w:shd w:val="clear" w:color="auto" w:fill="auto"/>
            <w:tcMar>
              <w:top w:w="0" w:type="dxa"/>
              <w:left w:w="100" w:type="dxa"/>
              <w:bottom w:w="0" w:type="dxa"/>
              <w:right w:w="100" w:type="dxa"/>
            </w:tcMar>
            <w:vAlign w:val="center"/>
          </w:tcPr>
          <w:p w14:paraId="6BAF2BB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28,645,030</w:t>
            </w:r>
          </w:p>
        </w:tc>
      </w:tr>
      <w:tr w:rsidR="007776EB" w:rsidRPr="006C6F11" w14:paraId="417E8EA5" w14:textId="77777777" w:rsidTr="006C6F11">
        <w:tc>
          <w:tcPr>
            <w:tcW w:w="594" w:type="pct"/>
            <w:shd w:val="clear" w:color="auto" w:fill="auto"/>
            <w:tcMar>
              <w:top w:w="0" w:type="dxa"/>
              <w:left w:w="100" w:type="dxa"/>
              <w:bottom w:w="0" w:type="dxa"/>
              <w:right w:w="100" w:type="dxa"/>
            </w:tcMar>
            <w:vAlign w:val="center"/>
          </w:tcPr>
          <w:p w14:paraId="12C958D3"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6</w:t>
            </w:r>
          </w:p>
        </w:tc>
        <w:tc>
          <w:tcPr>
            <w:tcW w:w="2844" w:type="pct"/>
            <w:shd w:val="clear" w:color="auto" w:fill="auto"/>
            <w:tcMar>
              <w:top w:w="0" w:type="dxa"/>
              <w:left w:w="100" w:type="dxa"/>
              <w:bottom w:w="0" w:type="dxa"/>
              <w:right w:w="100" w:type="dxa"/>
            </w:tcMar>
            <w:vAlign w:val="center"/>
          </w:tcPr>
          <w:p w14:paraId="51614DA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Accumulated undistributed profits</w:t>
            </w:r>
          </w:p>
        </w:tc>
        <w:tc>
          <w:tcPr>
            <w:tcW w:w="1562" w:type="pct"/>
            <w:shd w:val="clear" w:color="auto" w:fill="auto"/>
            <w:tcMar>
              <w:top w:w="0" w:type="dxa"/>
              <w:left w:w="100" w:type="dxa"/>
              <w:bottom w:w="0" w:type="dxa"/>
              <w:right w:w="100" w:type="dxa"/>
            </w:tcMar>
            <w:vAlign w:val="center"/>
          </w:tcPr>
          <w:p w14:paraId="1CECBF9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1,535,631,617</w:t>
            </w:r>
          </w:p>
        </w:tc>
      </w:tr>
    </w:tbl>
    <w:p w14:paraId="2F332FC7"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‎‎Article 4. Approve the profit distribution plan and the dividend payment rate for the fiscal year 2023.</w:t>
      </w:r>
    </w:p>
    <w:p w14:paraId="59BCA4FB" w14:textId="7ABA411C"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Based on the Financial Statements</w:t>
      </w:r>
      <w:r w:rsidR="006F2824" w:rsidRPr="006C6F11">
        <w:rPr>
          <w:rFonts w:ascii="Arial" w:hAnsi="Arial" w:cs="Arial"/>
          <w:color w:val="010000"/>
          <w:sz w:val="20"/>
        </w:rPr>
        <w:t xml:space="preserve"> 2023</w:t>
      </w:r>
      <w:r w:rsidRPr="006C6F11">
        <w:rPr>
          <w:rFonts w:ascii="Arial" w:hAnsi="Arial" w:cs="Arial"/>
          <w:color w:val="010000"/>
          <w:sz w:val="20"/>
        </w:rPr>
        <w:t xml:space="preserve"> audited by CPA VIETNAM Auditing Company Limited, the Company's 2023 production and business targets are as follows:</w:t>
      </w:r>
    </w:p>
    <w:p w14:paraId="35121A29" w14:textId="66EAD79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after tax in 2023</w:t>
      </w:r>
      <w:r w:rsidR="00760B45" w:rsidRPr="006C6F11">
        <w:rPr>
          <w:rFonts w:ascii="Arial" w:hAnsi="Arial" w:cs="Arial"/>
          <w:color w:val="010000"/>
          <w:sz w:val="20"/>
        </w:rPr>
        <w:t>:</w:t>
      </w:r>
      <w:r w:rsidRPr="006C6F11">
        <w:rPr>
          <w:rFonts w:ascii="Arial" w:hAnsi="Arial" w:cs="Arial"/>
          <w:color w:val="010000"/>
          <w:sz w:val="20"/>
        </w:rPr>
        <w:t xml:space="preserve"> VND 28,645,030</w:t>
      </w:r>
    </w:p>
    <w:p w14:paraId="12825CBB"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Accumulated undistributed profit after tax until the end of 2022: VND 1,506,986,587</w:t>
      </w:r>
    </w:p>
    <w:p w14:paraId="2E2C3080"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Distributed profit after tax: VND 1,535,631,617</w:t>
      </w:r>
    </w:p>
    <w:p w14:paraId="704D6BAC" w14:textId="28DCD725"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The General Meeting approved not distributing profit after tax and paying dividends in 2023.</w:t>
      </w:r>
    </w:p>
    <w:p w14:paraId="6528A922"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‎‎Article 5. Approve the targets of the production and business plan in 2024</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13"/>
        <w:gridCol w:w="2386"/>
        <w:gridCol w:w="1117"/>
        <w:gridCol w:w="1332"/>
        <w:gridCol w:w="1591"/>
        <w:gridCol w:w="1972"/>
      </w:tblGrid>
      <w:tr w:rsidR="007776EB" w:rsidRPr="006C6F11" w14:paraId="314CE776" w14:textId="77777777" w:rsidTr="006C6F11">
        <w:tc>
          <w:tcPr>
            <w:tcW w:w="340" w:type="pct"/>
            <w:shd w:val="clear" w:color="auto" w:fill="auto"/>
            <w:tcMar>
              <w:top w:w="0" w:type="dxa"/>
              <w:left w:w="100" w:type="dxa"/>
              <w:bottom w:w="0" w:type="dxa"/>
              <w:right w:w="100" w:type="dxa"/>
            </w:tcMar>
            <w:vAlign w:val="center"/>
          </w:tcPr>
          <w:p w14:paraId="63ED5CBC"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No.</w:t>
            </w:r>
          </w:p>
        </w:tc>
        <w:tc>
          <w:tcPr>
            <w:tcW w:w="1324" w:type="pct"/>
            <w:shd w:val="clear" w:color="auto" w:fill="auto"/>
            <w:tcMar>
              <w:top w:w="0" w:type="dxa"/>
              <w:left w:w="100" w:type="dxa"/>
              <w:bottom w:w="0" w:type="dxa"/>
              <w:right w:w="100" w:type="dxa"/>
            </w:tcMar>
            <w:vAlign w:val="center"/>
          </w:tcPr>
          <w:p w14:paraId="240B7AE8"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Targets</w:t>
            </w:r>
          </w:p>
        </w:tc>
        <w:tc>
          <w:tcPr>
            <w:tcW w:w="620" w:type="pct"/>
            <w:shd w:val="clear" w:color="auto" w:fill="auto"/>
            <w:tcMar>
              <w:top w:w="0" w:type="dxa"/>
              <w:left w:w="100" w:type="dxa"/>
              <w:bottom w:w="0" w:type="dxa"/>
              <w:right w:w="100" w:type="dxa"/>
            </w:tcMar>
            <w:vAlign w:val="center"/>
          </w:tcPr>
          <w:p w14:paraId="6776CB41"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Unit</w:t>
            </w:r>
          </w:p>
        </w:tc>
        <w:tc>
          <w:tcPr>
            <w:tcW w:w="739" w:type="pct"/>
            <w:shd w:val="clear" w:color="auto" w:fill="auto"/>
            <w:tcMar>
              <w:top w:w="0" w:type="dxa"/>
              <w:left w:w="100" w:type="dxa"/>
              <w:bottom w:w="0" w:type="dxa"/>
              <w:right w:w="100" w:type="dxa"/>
            </w:tcMar>
            <w:vAlign w:val="center"/>
          </w:tcPr>
          <w:p w14:paraId="53606690" w14:textId="5660CF4C" w:rsidR="007776EB" w:rsidRPr="006C6F11" w:rsidRDefault="00760B45"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 xml:space="preserve">Results </w:t>
            </w:r>
            <w:r w:rsidR="009B160C" w:rsidRPr="006C6F11">
              <w:rPr>
                <w:rFonts w:ascii="Arial" w:hAnsi="Arial" w:cs="Arial"/>
                <w:color w:val="010000"/>
                <w:sz w:val="20"/>
              </w:rPr>
              <w:t xml:space="preserve">2023 </w:t>
            </w:r>
          </w:p>
        </w:tc>
        <w:tc>
          <w:tcPr>
            <w:tcW w:w="883" w:type="pct"/>
            <w:shd w:val="clear" w:color="auto" w:fill="auto"/>
            <w:tcMar>
              <w:top w:w="0" w:type="dxa"/>
              <w:left w:w="100" w:type="dxa"/>
              <w:bottom w:w="0" w:type="dxa"/>
              <w:right w:w="100" w:type="dxa"/>
            </w:tcMar>
            <w:vAlign w:val="center"/>
          </w:tcPr>
          <w:p w14:paraId="344B7602" w14:textId="5AFD87D3"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Plan</w:t>
            </w:r>
            <w:r w:rsidR="00760B45" w:rsidRPr="006C6F11">
              <w:rPr>
                <w:rFonts w:ascii="Arial" w:hAnsi="Arial" w:cs="Arial"/>
                <w:color w:val="010000"/>
                <w:sz w:val="20"/>
              </w:rPr>
              <w:t xml:space="preserve"> 2024</w:t>
            </w:r>
          </w:p>
        </w:tc>
        <w:tc>
          <w:tcPr>
            <w:tcW w:w="1094" w:type="pct"/>
            <w:shd w:val="clear" w:color="auto" w:fill="auto"/>
            <w:tcMar>
              <w:top w:w="0" w:type="dxa"/>
              <w:left w:w="100" w:type="dxa"/>
              <w:bottom w:w="0" w:type="dxa"/>
              <w:right w:w="100" w:type="dxa"/>
            </w:tcMar>
            <w:vAlign w:val="center"/>
          </w:tcPr>
          <w:p w14:paraId="4DFB0072" w14:textId="6D74CC0D"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Percentage of Plan</w:t>
            </w:r>
            <w:r w:rsidR="006F2824" w:rsidRPr="006C6F11">
              <w:rPr>
                <w:rFonts w:ascii="Arial" w:hAnsi="Arial" w:cs="Arial"/>
                <w:color w:val="010000"/>
                <w:sz w:val="20"/>
              </w:rPr>
              <w:t xml:space="preserve"> 2024</w:t>
            </w:r>
            <w:r w:rsidRPr="006C6F11">
              <w:rPr>
                <w:rFonts w:ascii="Arial" w:hAnsi="Arial" w:cs="Arial"/>
                <w:color w:val="010000"/>
                <w:sz w:val="20"/>
              </w:rPr>
              <w:t>/Results</w:t>
            </w:r>
            <w:r w:rsidR="006F2824" w:rsidRPr="006C6F11">
              <w:rPr>
                <w:rFonts w:ascii="Arial" w:hAnsi="Arial" w:cs="Arial"/>
                <w:color w:val="010000"/>
                <w:sz w:val="20"/>
              </w:rPr>
              <w:t xml:space="preserve"> 2023</w:t>
            </w:r>
          </w:p>
        </w:tc>
      </w:tr>
      <w:tr w:rsidR="007776EB" w:rsidRPr="006C6F11" w14:paraId="34D7741B" w14:textId="77777777" w:rsidTr="006C6F11">
        <w:tc>
          <w:tcPr>
            <w:tcW w:w="340" w:type="pct"/>
            <w:shd w:val="clear" w:color="auto" w:fill="auto"/>
            <w:tcMar>
              <w:top w:w="0" w:type="dxa"/>
              <w:left w:w="100" w:type="dxa"/>
              <w:bottom w:w="0" w:type="dxa"/>
              <w:right w:w="100" w:type="dxa"/>
            </w:tcMar>
            <w:vAlign w:val="center"/>
          </w:tcPr>
          <w:p w14:paraId="6E586FB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w:t>
            </w:r>
          </w:p>
        </w:tc>
        <w:tc>
          <w:tcPr>
            <w:tcW w:w="1324" w:type="pct"/>
            <w:shd w:val="clear" w:color="auto" w:fill="auto"/>
            <w:tcMar>
              <w:top w:w="0" w:type="dxa"/>
              <w:left w:w="100" w:type="dxa"/>
              <w:bottom w:w="0" w:type="dxa"/>
              <w:right w:w="100" w:type="dxa"/>
            </w:tcMar>
            <w:vAlign w:val="center"/>
          </w:tcPr>
          <w:p w14:paraId="51C35F47" w14:textId="34C5051C"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Production and business value</w:t>
            </w:r>
          </w:p>
        </w:tc>
        <w:tc>
          <w:tcPr>
            <w:tcW w:w="620" w:type="pct"/>
            <w:shd w:val="clear" w:color="auto" w:fill="auto"/>
            <w:tcMar>
              <w:top w:w="0" w:type="dxa"/>
              <w:left w:w="100" w:type="dxa"/>
              <w:bottom w:w="0" w:type="dxa"/>
              <w:right w:w="100" w:type="dxa"/>
            </w:tcMar>
            <w:vAlign w:val="center"/>
          </w:tcPr>
          <w:p w14:paraId="4F2B1ADB"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Billion VND</w:t>
            </w:r>
          </w:p>
        </w:tc>
        <w:tc>
          <w:tcPr>
            <w:tcW w:w="739" w:type="pct"/>
            <w:shd w:val="clear" w:color="auto" w:fill="auto"/>
            <w:tcMar>
              <w:top w:w="0" w:type="dxa"/>
              <w:left w:w="100" w:type="dxa"/>
              <w:bottom w:w="0" w:type="dxa"/>
              <w:right w:w="100" w:type="dxa"/>
            </w:tcMar>
            <w:vAlign w:val="center"/>
          </w:tcPr>
          <w:p w14:paraId="43B22B42"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38.2</w:t>
            </w:r>
          </w:p>
        </w:tc>
        <w:tc>
          <w:tcPr>
            <w:tcW w:w="883" w:type="pct"/>
            <w:shd w:val="clear" w:color="auto" w:fill="auto"/>
            <w:tcMar>
              <w:top w:w="0" w:type="dxa"/>
              <w:left w:w="100" w:type="dxa"/>
              <w:bottom w:w="0" w:type="dxa"/>
              <w:right w:w="100" w:type="dxa"/>
            </w:tcMar>
            <w:vAlign w:val="center"/>
          </w:tcPr>
          <w:p w14:paraId="25326BCE"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183.2</w:t>
            </w:r>
          </w:p>
        </w:tc>
        <w:tc>
          <w:tcPr>
            <w:tcW w:w="1094" w:type="pct"/>
            <w:shd w:val="clear" w:color="auto" w:fill="auto"/>
            <w:tcMar>
              <w:top w:w="0" w:type="dxa"/>
              <w:left w:w="100" w:type="dxa"/>
              <w:bottom w:w="0" w:type="dxa"/>
              <w:right w:w="100" w:type="dxa"/>
            </w:tcMar>
            <w:vAlign w:val="center"/>
          </w:tcPr>
          <w:p w14:paraId="1A5E75BC"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479.6%</w:t>
            </w:r>
          </w:p>
        </w:tc>
      </w:tr>
      <w:tr w:rsidR="007776EB" w:rsidRPr="006C6F11" w14:paraId="674FA658" w14:textId="77777777" w:rsidTr="006C6F11">
        <w:tc>
          <w:tcPr>
            <w:tcW w:w="340" w:type="pct"/>
            <w:shd w:val="clear" w:color="auto" w:fill="auto"/>
            <w:tcMar>
              <w:top w:w="0" w:type="dxa"/>
              <w:left w:w="100" w:type="dxa"/>
              <w:bottom w:w="0" w:type="dxa"/>
              <w:right w:w="100" w:type="dxa"/>
            </w:tcMar>
            <w:vAlign w:val="center"/>
          </w:tcPr>
          <w:p w14:paraId="488DFC3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w:t>
            </w:r>
          </w:p>
        </w:tc>
        <w:tc>
          <w:tcPr>
            <w:tcW w:w="1324" w:type="pct"/>
            <w:shd w:val="clear" w:color="auto" w:fill="auto"/>
            <w:tcMar>
              <w:top w:w="0" w:type="dxa"/>
              <w:left w:w="100" w:type="dxa"/>
              <w:bottom w:w="0" w:type="dxa"/>
              <w:right w:w="100" w:type="dxa"/>
            </w:tcMar>
            <w:vAlign w:val="center"/>
          </w:tcPr>
          <w:p w14:paraId="0A126E21"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Investment value</w:t>
            </w:r>
          </w:p>
        </w:tc>
        <w:tc>
          <w:tcPr>
            <w:tcW w:w="620" w:type="pct"/>
            <w:shd w:val="clear" w:color="auto" w:fill="auto"/>
            <w:tcMar>
              <w:top w:w="0" w:type="dxa"/>
              <w:left w:w="100" w:type="dxa"/>
              <w:bottom w:w="0" w:type="dxa"/>
              <w:right w:w="100" w:type="dxa"/>
            </w:tcMar>
            <w:vAlign w:val="center"/>
          </w:tcPr>
          <w:p w14:paraId="0017A3C9"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w:t>
            </w:r>
          </w:p>
        </w:tc>
        <w:tc>
          <w:tcPr>
            <w:tcW w:w="739" w:type="pct"/>
            <w:shd w:val="clear" w:color="auto" w:fill="auto"/>
            <w:tcMar>
              <w:top w:w="0" w:type="dxa"/>
              <w:left w:w="100" w:type="dxa"/>
              <w:bottom w:w="0" w:type="dxa"/>
              <w:right w:w="100" w:type="dxa"/>
            </w:tcMar>
            <w:vAlign w:val="center"/>
          </w:tcPr>
          <w:p w14:paraId="25F3078D"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37.7</w:t>
            </w:r>
          </w:p>
        </w:tc>
        <w:tc>
          <w:tcPr>
            <w:tcW w:w="883" w:type="pct"/>
            <w:shd w:val="clear" w:color="auto" w:fill="auto"/>
            <w:tcMar>
              <w:top w:w="0" w:type="dxa"/>
              <w:left w:w="100" w:type="dxa"/>
              <w:bottom w:w="0" w:type="dxa"/>
              <w:right w:w="100" w:type="dxa"/>
            </w:tcMar>
            <w:vAlign w:val="center"/>
          </w:tcPr>
          <w:p w14:paraId="7775622B"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18.6</w:t>
            </w:r>
          </w:p>
        </w:tc>
        <w:tc>
          <w:tcPr>
            <w:tcW w:w="1094" w:type="pct"/>
            <w:shd w:val="clear" w:color="auto" w:fill="auto"/>
            <w:tcMar>
              <w:top w:w="0" w:type="dxa"/>
              <w:left w:w="100" w:type="dxa"/>
              <w:bottom w:w="0" w:type="dxa"/>
              <w:right w:w="100" w:type="dxa"/>
            </w:tcMar>
            <w:vAlign w:val="center"/>
          </w:tcPr>
          <w:p w14:paraId="6D441111"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49.3%</w:t>
            </w:r>
          </w:p>
        </w:tc>
      </w:tr>
      <w:tr w:rsidR="007776EB" w:rsidRPr="006C6F11" w14:paraId="28B95EEC" w14:textId="77777777" w:rsidTr="006C6F11">
        <w:tc>
          <w:tcPr>
            <w:tcW w:w="340" w:type="pct"/>
            <w:shd w:val="clear" w:color="auto" w:fill="auto"/>
            <w:tcMar>
              <w:top w:w="0" w:type="dxa"/>
              <w:left w:w="100" w:type="dxa"/>
              <w:bottom w:w="0" w:type="dxa"/>
              <w:right w:w="100" w:type="dxa"/>
            </w:tcMar>
            <w:vAlign w:val="center"/>
          </w:tcPr>
          <w:p w14:paraId="75AD70D5"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3</w:t>
            </w:r>
          </w:p>
        </w:tc>
        <w:tc>
          <w:tcPr>
            <w:tcW w:w="1324" w:type="pct"/>
            <w:shd w:val="clear" w:color="auto" w:fill="auto"/>
            <w:tcMar>
              <w:top w:w="0" w:type="dxa"/>
              <w:left w:w="100" w:type="dxa"/>
              <w:bottom w:w="0" w:type="dxa"/>
              <w:right w:w="100" w:type="dxa"/>
            </w:tcMar>
            <w:vAlign w:val="center"/>
          </w:tcPr>
          <w:p w14:paraId="19CE86A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Revenue</w:t>
            </w:r>
          </w:p>
        </w:tc>
        <w:tc>
          <w:tcPr>
            <w:tcW w:w="620" w:type="pct"/>
            <w:shd w:val="clear" w:color="auto" w:fill="auto"/>
            <w:tcMar>
              <w:top w:w="0" w:type="dxa"/>
              <w:left w:w="100" w:type="dxa"/>
              <w:bottom w:w="0" w:type="dxa"/>
              <w:right w:w="100" w:type="dxa"/>
            </w:tcMar>
            <w:vAlign w:val="center"/>
          </w:tcPr>
          <w:p w14:paraId="231178E2"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w:t>
            </w:r>
          </w:p>
        </w:tc>
        <w:tc>
          <w:tcPr>
            <w:tcW w:w="739" w:type="pct"/>
            <w:shd w:val="clear" w:color="auto" w:fill="auto"/>
            <w:tcMar>
              <w:top w:w="0" w:type="dxa"/>
              <w:left w:w="100" w:type="dxa"/>
              <w:bottom w:w="0" w:type="dxa"/>
              <w:right w:w="100" w:type="dxa"/>
            </w:tcMar>
            <w:vAlign w:val="center"/>
          </w:tcPr>
          <w:p w14:paraId="70574E5D"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41.6</w:t>
            </w:r>
          </w:p>
        </w:tc>
        <w:tc>
          <w:tcPr>
            <w:tcW w:w="883" w:type="pct"/>
            <w:shd w:val="clear" w:color="auto" w:fill="auto"/>
            <w:tcMar>
              <w:top w:w="0" w:type="dxa"/>
              <w:left w:w="100" w:type="dxa"/>
              <w:bottom w:w="0" w:type="dxa"/>
              <w:right w:w="100" w:type="dxa"/>
            </w:tcMar>
            <w:vAlign w:val="center"/>
          </w:tcPr>
          <w:p w14:paraId="606644F0"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166.7</w:t>
            </w:r>
          </w:p>
        </w:tc>
        <w:tc>
          <w:tcPr>
            <w:tcW w:w="1094" w:type="pct"/>
            <w:shd w:val="clear" w:color="auto" w:fill="auto"/>
            <w:tcMar>
              <w:top w:w="0" w:type="dxa"/>
              <w:left w:w="100" w:type="dxa"/>
              <w:bottom w:w="0" w:type="dxa"/>
              <w:right w:w="100" w:type="dxa"/>
            </w:tcMar>
            <w:vAlign w:val="center"/>
          </w:tcPr>
          <w:p w14:paraId="4E6F8E78"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400.7%</w:t>
            </w:r>
          </w:p>
        </w:tc>
      </w:tr>
      <w:tr w:rsidR="007776EB" w:rsidRPr="006C6F11" w14:paraId="7093705A" w14:textId="77777777" w:rsidTr="006C6F11">
        <w:tc>
          <w:tcPr>
            <w:tcW w:w="340" w:type="pct"/>
            <w:shd w:val="clear" w:color="auto" w:fill="auto"/>
            <w:tcMar>
              <w:top w:w="0" w:type="dxa"/>
              <w:left w:w="100" w:type="dxa"/>
              <w:bottom w:w="0" w:type="dxa"/>
              <w:right w:w="100" w:type="dxa"/>
            </w:tcMar>
            <w:vAlign w:val="center"/>
          </w:tcPr>
          <w:p w14:paraId="6A7B4897"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4</w:t>
            </w:r>
          </w:p>
        </w:tc>
        <w:tc>
          <w:tcPr>
            <w:tcW w:w="1324" w:type="pct"/>
            <w:shd w:val="clear" w:color="auto" w:fill="auto"/>
            <w:tcMar>
              <w:top w:w="0" w:type="dxa"/>
              <w:left w:w="100" w:type="dxa"/>
              <w:bottom w:w="0" w:type="dxa"/>
              <w:right w:w="100" w:type="dxa"/>
            </w:tcMar>
            <w:vAlign w:val="center"/>
          </w:tcPr>
          <w:p w14:paraId="169CC64A" w14:textId="0561DCB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before tax</w:t>
            </w:r>
          </w:p>
        </w:tc>
        <w:tc>
          <w:tcPr>
            <w:tcW w:w="620" w:type="pct"/>
            <w:shd w:val="clear" w:color="auto" w:fill="auto"/>
            <w:tcMar>
              <w:top w:w="0" w:type="dxa"/>
              <w:left w:w="100" w:type="dxa"/>
              <w:bottom w:w="0" w:type="dxa"/>
              <w:right w:w="100" w:type="dxa"/>
            </w:tcMar>
            <w:vAlign w:val="center"/>
          </w:tcPr>
          <w:p w14:paraId="176FBAE9"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w:t>
            </w:r>
          </w:p>
        </w:tc>
        <w:tc>
          <w:tcPr>
            <w:tcW w:w="739" w:type="pct"/>
            <w:shd w:val="clear" w:color="auto" w:fill="auto"/>
            <w:tcMar>
              <w:top w:w="0" w:type="dxa"/>
              <w:left w:w="100" w:type="dxa"/>
              <w:bottom w:w="0" w:type="dxa"/>
              <w:right w:w="100" w:type="dxa"/>
            </w:tcMar>
            <w:vAlign w:val="center"/>
          </w:tcPr>
          <w:p w14:paraId="34622EB3"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0.1</w:t>
            </w:r>
          </w:p>
        </w:tc>
        <w:tc>
          <w:tcPr>
            <w:tcW w:w="883" w:type="pct"/>
            <w:shd w:val="clear" w:color="auto" w:fill="auto"/>
            <w:tcMar>
              <w:top w:w="0" w:type="dxa"/>
              <w:left w:w="100" w:type="dxa"/>
              <w:bottom w:w="0" w:type="dxa"/>
              <w:right w:w="100" w:type="dxa"/>
            </w:tcMar>
            <w:vAlign w:val="center"/>
          </w:tcPr>
          <w:p w14:paraId="35A64964"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12.6</w:t>
            </w:r>
          </w:p>
        </w:tc>
        <w:tc>
          <w:tcPr>
            <w:tcW w:w="1094" w:type="pct"/>
            <w:shd w:val="clear" w:color="auto" w:fill="auto"/>
            <w:tcMar>
              <w:top w:w="0" w:type="dxa"/>
              <w:left w:w="100" w:type="dxa"/>
              <w:bottom w:w="0" w:type="dxa"/>
              <w:right w:w="100" w:type="dxa"/>
            </w:tcMar>
            <w:vAlign w:val="center"/>
          </w:tcPr>
          <w:p w14:paraId="475A5C4A"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12,600%</w:t>
            </w:r>
          </w:p>
        </w:tc>
      </w:tr>
      <w:tr w:rsidR="007776EB" w:rsidRPr="006C6F11" w14:paraId="5F2ED96F" w14:textId="77777777" w:rsidTr="006C6F11">
        <w:tc>
          <w:tcPr>
            <w:tcW w:w="340" w:type="pct"/>
            <w:shd w:val="clear" w:color="auto" w:fill="auto"/>
            <w:tcMar>
              <w:top w:w="0" w:type="dxa"/>
              <w:left w:w="100" w:type="dxa"/>
              <w:bottom w:w="0" w:type="dxa"/>
              <w:right w:w="100" w:type="dxa"/>
            </w:tcMar>
            <w:vAlign w:val="center"/>
          </w:tcPr>
          <w:p w14:paraId="634A14FE"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5</w:t>
            </w:r>
          </w:p>
        </w:tc>
        <w:tc>
          <w:tcPr>
            <w:tcW w:w="1324" w:type="pct"/>
            <w:shd w:val="clear" w:color="auto" w:fill="auto"/>
            <w:tcMar>
              <w:top w:w="0" w:type="dxa"/>
              <w:left w:w="100" w:type="dxa"/>
              <w:bottom w:w="0" w:type="dxa"/>
              <w:right w:w="100" w:type="dxa"/>
            </w:tcMar>
            <w:vAlign w:val="center"/>
          </w:tcPr>
          <w:p w14:paraId="2C144E7C"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Profit after tax</w:t>
            </w:r>
          </w:p>
        </w:tc>
        <w:tc>
          <w:tcPr>
            <w:tcW w:w="620" w:type="pct"/>
            <w:shd w:val="clear" w:color="auto" w:fill="auto"/>
            <w:tcMar>
              <w:top w:w="0" w:type="dxa"/>
              <w:left w:w="100" w:type="dxa"/>
              <w:bottom w:w="0" w:type="dxa"/>
              <w:right w:w="100" w:type="dxa"/>
            </w:tcMar>
            <w:vAlign w:val="center"/>
          </w:tcPr>
          <w:p w14:paraId="2213A857"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w:t>
            </w:r>
          </w:p>
        </w:tc>
        <w:tc>
          <w:tcPr>
            <w:tcW w:w="739" w:type="pct"/>
            <w:shd w:val="clear" w:color="auto" w:fill="auto"/>
            <w:tcMar>
              <w:top w:w="0" w:type="dxa"/>
              <w:left w:w="100" w:type="dxa"/>
              <w:bottom w:w="0" w:type="dxa"/>
              <w:right w:w="100" w:type="dxa"/>
            </w:tcMar>
            <w:vAlign w:val="center"/>
          </w:tcPr>
          <w:p w14:paraId="672DDB68"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0.03</w:t>
            </w:r>
          </w:p>
        </w:tc>
        <w:tc>
          <w:tcPr>
            <w:tcW w:w="883" w:type="pct"/>
            <w:shd w:val="clear" w:color="auto" w:fill="auto"/>
            <w:tcMar>
              <w:top w:w="0" w:type="dxa"/>
              <w:left w:w="100" w:type="dxa"/>
              <w:bottom w:w="0" w:type="dxa"/>
              <w:right w:w="100" w:type="dxa"/>
            </w:tcMar>
            <w:vAlign w:val="center"/>
          </w:tcPr>
          <w:p w14:paraId="654721C2"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3.4</w:t>
            </w:r>
          </w:p>
        </w:tc>
        <w:tc>
          <w:tcPr>
            <w:tcW w:w="1094" w:type="pct"/>
            <w:shd w:val="clear" w:color="auto" w:fill="auto"/>
            <w:tcMar>
              <w:top w:w="0" w:type="dxa"/>
              <w:left w:w="100" w:type="dxa"/>
              <w:bottom w:w="0" w:type="dxa"/>
              <w:right w:w="100" w:type="dxa"/>
            </w:tcMar>
            <w:vAlign w:val="center"/>
          </w:tcPr>
          <w:p w14:paraId="74E70EC7"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11,333.3%</w:t>
            </w:r>
          </w:p>
        </w:tc>
      </w:tr>
      <w:tr w:rsidR="007776EB" w:rsidRPr="006C6F11" w14:paraId="3FE32B97" w14:textId="77777777" w:rsidTr="006C6F11">
        <w:tc>
          <w:tcPr>
            <w:tcW w:w="340" w:type="pct"/>
            <w:shd w:val="clear" w:color="auto" w:fill="auto"/>
            <w:tcMar>
              <w:top w:w="0" w:type="dxa"/>
              <w:left w:w="100" w:type="dxa"/>
              <w:bottom w:w="0" w:type="dxa"/>
              <w:right w:w="100" w:type="dxa"/>
            </w:tcMar>
            <w:vAlign w:val="center"/>
          </w:tcPr>
          <w:p w14:paraId="23585BF4"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6</w:t>
            </w:r>
          </w:p>
        </w:tc>
        <w:tc>
          <w:tcPr>
            <w:tcW w:w="1324" w:type="pct"/>
            <w:shd w:val="clear" w:color="auto" w:fill="auto"/>
            <w:tcMar>
              <w:top w:w="0" w:type="dxa"/>
              <w:left w:w="100" w:type="dxa"/>
              <w:bottom w:w="0" w:type="dxa"/>
              <w:right w:w="100" w:type="dxa"/>
            </w:tcMar>
            <w:vAlign w:val="center"/>
          </w:tcPr>
          <w:p w14:paraId="0FCC774F" w14:textId="165D0E48"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Payment to </w:t>
            </w:r>
            <w:r w:rsidR="00760B45" w:rsidRPr="006C6F11">
              <w:rPr>
                <w:rFonts w:ascii="Arial" w:hAnsi="Arial" w:cs="Arial"/>
                <w:color w:val="010000"/>
                <w:sz w:val="20"/>
              </w:rPr>
              <w:t xml:space="preserve">the state </w:t>
            </w:r>
            <w:r w:rsidRPr="006C6F11">
              <w:rPr>
                <w:rFonts w:ascii="Arial" w:hAnsi="Arial" w:cs="Arial"/>
                <w:color w:val="010000"/>
                <w:sz w:val="20"/>
              </w:rPr>
              <w:t>budget</w:t>
            </w:r>
          </w:p>
        </w:tc>
        <w:tc>
          <w:tcPr>
            <w:tcW w:w="620" w:type="pct"/>
            <w:shd w:val="clear" w:color="auto" w:fill="auto"/>
            <w:tcMar>
              <w:top w:w="0" w:type="dxa"/>
              <w:left w:w="100" w:type="dxa"/>
              <w:bottom w:w="0" w:type="dxa"/>
              <w:right w:w="100" w:type="dxa"/>
            </w:tcMar>
            <w:vAlign w:val="center"/>
          </w:tcPr>
          <w:p w14:paraId="3209D91B"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w:t>
            </w:r>
          </w:p>
        </w:tc>
        <w:tc>
          <w:tcPr>
            <w:tcW w:w="739" w:type="pct"/>
            <w:shd w:val="clear" w:color="auto" w:fill="auto"/>
            <w:tcMar>
              <w:top w:w="0" w:type="dxa"/>
              <w:left w:w="100" w:type="dxa"/>
              <w:bottom w:w="0" w:type="dxa"/>
              <w:right w:w="100" w:type="dxa"/>
            </w:tcMar>
            <w:vAlign w:val="center"/>
          </w:tcPr>
          <w:p w14:paraId="3EDABE9F"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1.2</w:t>
            </w:r>
          </w:p>
        </w:tc>
        <w:tc>
          <w:tcPr>
            <w:tcW w:w="883" w:type="pct"/>
            <w:shd w:val="clear" w:color="auto" w:fill="auto"/>
            <w:tcMar>
              <w:top w:w="0" w:type="dxa"/>
              <w:left w:w="100" w:type="dxa"/>
              <w:bottom w:w="0" w:type="dxa"/>
              <w:right w:w="100" w:type="dxa"/>
            </w:tcMar>
            <w:vAlign w:val="center"/>
          </w:tcPr>
          <w:p w14:paraId="68CF9D1F"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4.0</w:t>
            </w:r>
          </w:p>
        </w:tc>
        <w:tc>
          <w:tcPr>
            <w:tcW w:w="1094" w:type="pct"/>
            <w:shd w:val="clear" w:color="auto" w:fill="auto"/>
            <w:tcMar>
              <w:top w:w="0" w:type="dxa"/>
              <w:left w:w="100" w:type="dxa"/>
              <w:bottom w:w="0" w:type="dxa"/>
              <w:right w:w="100" w:type="dxa"/>
            </w:tcMar>
            <w:vAlign w:val="center"/>
          </w:tcPr>
          <w:p w14:paraId="7FCB9369"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333.3%</w:t>
            </w:r>
          </w:p>
        </w:tc>
      </w:tr>
      <w:tr w:rsidR="007776EB" w:rsidRPr="006C6F11" w14:paraId="58CE7846" w14:textId="77777777" w:rsidTr="006C6F11">
        <w:tc>
          <w:tcPr>
            <w:tcW w:w="340" w:type="pct"/>
            <w:shd w:val="clear" w:color="auto" w:fill="auto"/>
            <w:tcMar>
              <w:top w:w="0" w:type="dxa"/>
              <w:left w:w="100" w:type="dxa"/>
              <w:bottom w:w="0" w:type="dxa"/>
              <w:right w:w="100" w:type="dxa"/>
            </w:tcMar>
            <w:vAlign w:val="center"/>
          </w:tcPr>
          <w:p w14:paraId="090C10DB"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7</w:t>
            </w:r>
          </w:p>
        </w:tc>
        <w:tc>
          <w:tcPr>
            <w:tcW w:w="1324" w:type="pct"/>
            <w:shd w:val="clear" w:color="auto" w:fill="auto"/>
            <w:tcMar>
              <w:top w:w="0" w:type="dxa"/>
              <w:left w:w="100" w:type="dxa"/>
              <w:bottom w:w="0" w:type="dxa"/>
              <w:right w:w="100" w:type="dxa"/>
            </w:tcMar>
            <w:vAlign w:val="center"/>
          </w:tcPr>
          <w:p w14:paraId="2EEF6299"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Dividend payment rate</w:t>
            </w:r>
          </w:p>
        </w:tc>
        <w:tc>
          <w:tcPr>
            <w:tcW w:w="620" w:type="pct"/>
            <w:shd w:val="clear" w:color="auto" w:fill="auto"/>
            <w:tcMar>
              <w:top w:w="0" w:type="dxa"/>
              <w:left w:w="100" w:type="dxa"/>
              <w:bottom w:w="0" w:type="dxa"/>
              <w:right w:w="100" w:type="dxa"/>
            </w:tcMar>
            <w:vAlign w:val="center"/>
          </w:tcPr>
          <w:p w14:paraId="30A65489" w14:textId="77777777" w:rsidR="007776EB" w:rsidRPr="006C6F11" w:rsidRDefault="009B160C" w:rsidP="006C6F11">
            <w:pPr>
              <w:tabs>
                <w:tab w:val="left" w:pos="720"/>
                <w:tab w:val="left" w:pos="1270"/>
              </w:tabs>
              <w:spacing w:after="120" w:line="360" w:lineRule="auto"/>
              <w:jc w:val="center"/>
              <w:rPr>
                <w:rFonts w:ascii="Arial" w:eastAsia="Arial" w:hAnsi="Arial" w:cs="Arial"/>
                <w:color w:val="010000"/>
                <w:sz w:val="20"/>
                <w:szCs w:val="20"/>
              </w:rPr>
            </w:pPr>
            <w:r w:rsidRPr="006C6F11">
              <w:rPr>
                <w:rFonts w:ascii="Arial" w:hAnsi="Arial" w:cs="Arial"/>
                <w:color w:val="010000"/>
                <w:sz w:val="20"/>
              </w:rPr>
              <w:t>“</w:t>
            </w:r>
          </w:p>
        </w:tc>
        <w:tc>
          <w:tcPr>
            <w:tcW w:w="739" w:type="pct"/>
            <w:shd w:val="clear" w:color="auto" w:fill="auto"/>
            <w:tcMar>
              <w:top w:w="0" w:type="dxa"/>
              <w:left w:w="100" w:type="dxa"/>
              <w:bottom w:w="0" w:type="dxa"/>
              <w:right w:w="100" w:type="dxa"/>
            </w:tcMar>
            <w:vAlign w:val="center"/>
          </w:tcPr>
          <w:p w14:paraId="7805D426"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0</w:t>
            </w:r>
          </w:p>
        </w:tc>
        <w:tc>
          <w:tcPr>
            <w:tcW w:w="883" w:type="pct"/>
            <w:shd w:val="clear" w:color="auto" w:fill="auto"/>
            <w:tcMar>
              <w:top w:w="0" w:type="dxa"/>
              <w:left w:w="100" w:type="dxa"/>
              <w:bottom w:w="0" w:type="dxa"/>
              <w:right w:w="100" w:type="dxa"/>
            </w:tcMar>
            <w:vAlign w:val="center"/>
          </w:tcPr>
          <w:p w14:paraId="12A8A17B" w14:textId="77777777" w:rsidR="007776EB" w:rsidRPr="006C6F11" w:rsidRDefault="00B2677F" w:rsidP="006C6F11">
            <w:pPr>
              <w:tabs>
                <w:tab w:val="left" w:pos="720"/>
                <w:tab w:val="left" w:pos="1270"/>
              </w:tabs>
              <w:spacing w:after="120" w:line="360" w:lineRule="auto"/>
              <w:jc w:val="right"/>
              <w:rPr>
                <w:rFonts w:ascii="Arial" w:eastAsia="Arial" w:hAnsi="Arial" w:cs="Arial"/>
                <w:color w:val="010000"/>
                <w:sz w:val="20"/>
                <w:szCs w:val="20"/>
              </w:rPr>
            </w:pPr>
            <w:sdt>
              <w:sdtPr>
                <w:rPr>
                  <w:rFonts w:ascii="Arial" w:hAnsi="Arial" w:cs="Arial"/>
                  <w:color w:val="010000"/>
                  <w:sz w:val="20"/>
                </w:rPr>
                <w:tag w:val="goog_rdk_0"/>
                <w:id w:val="-2124992391"/>
              </w:sdtPr>
              <w:sdtEndPr/>
              <w:sdtContent>
                <w:r w:rsidR="009B160C" w:rsidRPr="006C6F11">
                  <w:rPr>
                    <w:rFonts w:ascii="Arial" w:hAnsi="Arial" w:cs="Arial"/>
                    <w:color w:val="010000"/>
                    <w:sz w:val="20"/>
                  </w:rPr>
                  <w:t>≥5</w:t>
                </w:r>
              </w:sdtContent>
            </w:sdt>
          </w:p>
        </w:tc>
        <w:tc>
          <w:tcPr>
            <w:tcW w:w="1094" w:type="pct"/>
            <w:shd w:val="clear" w:color="auto" w:fill="auto"/>
            <w:tcMar>
              <w:top w:w="0" w:type="dxa"/>
              <w:left w:w="100" w:type="dxa"/>
              <w:bottom w:w="0" w:type="dxa"/>
              <w:right w:w="100" w:type="dxa"/>
            </w:tcMar>
            <w:vAlign w:val="center"/>
          </w:tcPr>
          <w:p w14:paraId="6A479FE8" w14:textId="77777777" w:rsidR="007776EB" w:rsidRPr="006C6F11" w:rsidRDefault="009B160C" w:rsidP="006C6F11">
            <w:pPr>
              <w:tabs>
                <w:tab w:val="left" w:pos="720"/>
                <w:tab w:val="left" w:pos="1270"/>
              </w:tabs>
              <w:spacing w:after="120" w:line="360" w:lineRule="auto"/>
              <w:jc w:val="right"/>
              <w:rPr>
                <w:rFonts w:ascii="Arial" w:eastAsia="Arial" w:hAnsi="Arial" w:cs="Arial"/>
                <w:color w:val="010000"/>
                <w:sz w:val="20"/>
                <w:szCs w:val="20"/>
              </w:rPr>
            </w:pPr>
            <w:r w:rsidRPr="006C6F11">
              <w:rPr>
                <w:rFonts w:ascii="Arial" w:hAnsi="Arial" w:cs="Arial"/>
                <w:color w:val="010000"/>
                <w:sz w:val="20"/>
              </w:rPr>
              <w:t>-</w:t>
            </w:r>
          </w:p>
        </w:tc>
      </w:tr>
    </w:tbl>
    <w:p w14:paraId="03E8EBFA" w14:textId="0E009C69"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‎‎Article 6. Approve the salaries and remunerations of the </w:t>
      </w:r>
      <w:r w:rsidR="00B2677F">
        <w:rPr>
          <w:rFonts w:ascii="Arial" w:hAnsi="Arial" w:cs="Arial"/>
          <w:color w:val="010000"/>
          <w:sz w:val="20"/>
        </w:rPr>
        <w:t>Management</w:t>
      </w:r>
      <w:r w:rsidRPr="006C6F11">
        <w:rPr>
          <w:rFonts w:ascii="Arial" w:hAnsi="Arial" w:cs="Arial"/>
          <w:color w:val="010000"/>
          <w:sz w:val="20"/>
        </w:rPr>
        <w:t>, the Board of Directors and the Supervisory Board</w:t>
      </w:r>
    </w:p>
    <w:p w14:paraId="19B1816E" w14:textId="67EF2773"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w:t>
      </w:r>
      <w:r w:rsidR="00BA495D" w:rsidRPr="006C6F11">
        <w:rPr>
          <w:rFonts w:ascii="Arial" w:hAnsi="Arial" w:cs="Arial"/>
          <w:color w:val="010000"/>
          <w:sz w:val="20"/>
        </w:rPr>
        <w:t xml:space="preserve"> </w:t>
      </w:r>
      <w:r w:rsidRPr="006C6F11">
        <w:rPr>
          <w:rFonts w:ascii="Arial" w:hAnsi="Arial" w:cs="Arial"/>
          <w:color w:val="010000"/>
          <w:sz w:val="20"/>
        </w:rPr>
        <w:t xml:space="preserve">Report to the </w:t>
      </w:r>
      <w:r w:rsidR="00B2677F">
        <w:rPr>
          <w:rFonts w:ascii="Arial" w:hAnsi="Arial" w:cs="Arial"/>
          <w:color w:val="010000"/>
          <w:sz w:val="20"/>
        </w:rPr>
        <w:t>General Meeting</w:t>
      </w:r>
      <w:r w:rsidRPr="006C6F11">
        <w:rPr>
          <w:rFonts w:ascii="Arial" w:hAnsi="Arial" w:cs="Arial"/>
          <w:color w:val="010000"/>
          <w:sz w:val="20"/>
        </w:rPr>
        <w:t xml:space="preserve"> on salaries and remunerations of </w:t>
      </w:r>
      <w:r w:rsidR="00B2677F">
        <w:rPr>
          <w:rFonts w:ascii="Arial" w:hAnsi="Arial" w:cs="Arial"/>
          <w:color w:val="010000"/>
          <w:sz w:val="20"/>
        </w:rPr>
        <w:t>management</w:t>
      </w:r>
      <w:r w:rsidRPr="006C6F11">
        <w:rPr>
          <w:rFonts w:ascii="Arial" w:hAnsi="Arial" w:cs="Arial"/>
          <w:color w:val="010000"/>
          <w:sz w:val="20"/>
        </w:rPr>
        <w:t>:</w:t>
      </w:r>
    </w:p>
    <w:p w14:paraId="49BF27DC" w14:textId="7DB67807" w:rsidR="007776EB" w:rsidRPr="006C6F11" w:rsidRDefault="009B160C" w:rsidP="006C6F11">
      <w:pPr>
        <w:pStyle w:val="ListParagraph"/>
        <w:numPr>
          <w:ilvl w:val="0"/>
          <w:numId w:val="1"/>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Salary and remuneration for </w:t>
      </w:r>
      <w:r w:rsidR="00B2677F">
        <w:rPr>
          <w:rFonts w:ascii="Arial" w:hAnsi="Arial" w:cs="Arial"/>
          <w:color w:val="010000"/>
          <w:sz w:val="20"/>
        </w:rPr>
        <w:t xml:space="preserve">the </w:t>
      </w:r>
      <w:proofErr w:type="spellStart"/>
      <w:r w:rsidR="00B2677F">
        <w:rPr>
          <w:rFonts w:ascii="Arial" w:hAnsi="Arial" w:cs="Arial"/>
          <w:color w:val="010000"/>
          <w:sz w:val="20"/>
        </w:rPr>
        <w:t>anagement</w:t>
      </w:r>
      <w:proofErr w:type="spellEnd"/>
      <w:r w:rsidRPr="006C6F11">
        <w:rPr>
          <w:rFonts w:ascii="Arial" w:hAnsi="Arial" w:cs="Arial"/>
          <w:color w:val="010000"/>
          <w:sz w:val="20"/>
        </w:rPr>
        <w:t xml:space="preserve"> in 2023: VND 1,401.6 million, in which:</w:t>
      </w:r>
    </w:p>
    <w:p w14:paraId="45690707" w14:textId="5B6952E0"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t xml:space="preserve">Remuneration for non-executive </w:t>
      </w:r>
      <w:r w:rsidR="00B2677F">
        <w:rPr>
          <w:rFonts w:ascii="Arial" w:hAnsi="Arial" w:cs="Arial"/>
          <w:color w:val="010000"/>
          <w:sz w:val="20"/>
        </w:rPr>
        <w:t>management</w:t>
      </w:r>
      <w:r w:rsidRPr="006C6F11">
        <w:rPr>
          <w:rFonts w:ascii="Arial" w:hAnsi="Arial" w:cs="Arial"/>
          <w:color w:val="010000"/>
          <w:sz w:val="20"/>
        </w:rPr>
        <w:t>: VND 96 million (04 people; average remuneration:</w:t>
      </w:r>
      <w:r w:rsidR="00BA495D" w:rsidRPr="006C6F11">
        <w:rPr>
          <w:rFonts w:ascii="Arial" w:hAnsi="Arial" w:cs="Arial"/>
          <w:color w:val="010000"/>
          <w:sz w:val="20"/>
        </w:rPr>
        <w:t xml:space="preserve"> </w:t>
      </w:r>
      <w:r w:rsidRPr="006C6F11">
        <w:rPr>
          <w:rFonts w:ascii="Arial" w:hAnsi="Arial" w:cs="Arial"/>
          <w:color w:val="010000"/>
          <w:sz w:val="20"/>
        </w:rPr>
        <w:t>VND 2 million/person/month).</w:t>
      </w:r>
    </w:p>
    <w:p w14:paraId="693F64CB" w14:textId="67EA77B3"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t xml:space="preserve">Salary of executive </w:t>
      </w:r>
      <w:r w:rsidR="00B2677F">
        <w:rPr>
          <w:rFonts w:ascii="Arial" w:hAnsi="Arial" w:cs="Arial"/>
          <w:color w:val="010000"/>
          <w:sz w:val="20"/>
        </w:rPr>
        <w:t>management</w:t>
      </w:r>
      <w:r w:rsidRPr="006C6F11">
        <w:rPr>
          <w:rFonts w:ascii="Arial" w:hAnsi="Arial" w:cs="Arial"/>
          <w:color w:val="010000"/>
          <w:sz w:val="20"/>
        </w:rPr>
        <w:t xml:space="preserve">: VND 1,305.6 million/Plan </w:t>
      </w:r>
      <w:r w:rsidR="00C72D75" w:rsidRPr="006C6F11">
        <w:rPr>
          <w:rFonts w:ascii="Arial" w:hAnsi="Arial" w:cs="Arial"/>
          <w:color w:val="010000"/>
          <w:sz w:val="20"/>
        </w:rPr>
        <w:t xml:space="preserve">of </w:t>
      </w:r>
      <w:r w:rsidRPr="006C6F11">
        <w:rPr>
          <w:rFonts w:ascii="Arial" w:hAnsi="Arial" w:cs="Arial"/>
          <w:color w:val="010000"/>
          <w:sz w:val="20"/>
        </w:rPr>
        <w:t>VND 1,632.5 million (04 people; average salary: VND 27.2 million/person/month/ Plan</w:t>
      </w:r>
      <w:r w:rsidR="00C72D75" w:rsidRPr="006C6F11">
        <w:rPr>
          <w:rFonts w:ascii="Arial" w:hAnsi="Arial" w:cs="Arial"/>
          <w:color w:val="010000"/>
          <w:sz w:val="20"/>
        </w:rPr>
        <w:t xml:space="preserve"> of</w:t>
      </w:r>
      <w:r w:rsidRPr="006C6F11">
        <w:rPr>
          <w:rFonts w:ascii="Arial" w:hAnsi="Arial" w:cs="Arial"/>
          <w:color w:val="010000"/>
          <w:sz w:val="20"/>
        </w:rPr>
        <w:t xml:space="preserve"> VND 34 million/person/month).</w:t>
      </w:r>
    </w:p>
    <w:p w14:paraId="400AA400" w14:textId="75682F9B" w:rsidR="007776EB" w:rsidRPr="006C6F11" w:rsidRDefault="009B160C" w:rsidP="006C6F11">
      <w:pPr>
        <w:pStyle w:val="ListParagraph"/>
        <w:numPr>
          <w:ilvl w:val="0"/>
          <w:numId w:val="1"/>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Salary and remuneration for </w:t>
      </w:r>
      <w:r w:rsidR="00B2677F">
        <w:rPr>
          <w:rFonts w:ascii="Arial" w:hAnsi="Arial" w:cs="Arial"/>
          <w:color w:val="010000"/>
          <w:sz w:val="20"/>
        </w:rPr>
        <w:t>the management</w:t>
      </w:r>
      <w:r w:rsidRPr="006C6F11">
        <w:rPr>
          <w:rFonts w:ascii="Arial" w:hAnsi="Arial" w:cs="Arial"/>
          <w:color w:val="010000"/>
          <w:sz w:val="20"/>
        </w:rPr>
        <w:t xml:space="preserve"> in 2024: VND 2,256 million, in which:</w:t>
      </w:r>
    </w:p>
    <w:p w14:paraId="73426F2F" w14:textId="41AA02E9"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t xml:space="preserve">Remuneration for non-executive </w:t>
      </w:r>
      <w:r w:rsidR="00B2677F">
        <w:rPr>
          <w:rFonts w:ascii="Arial" w:hAnsi="Arial" w:cs="Arial"/>
          <w:color w:val="010000"/>
          <w:sz w:val="20"/>
        </w:rPr>
        <w:t>management</w:t>
      </w:r>
      <w:r w:rsidRPr="006C6F11">
        <w:rPr>
          <w:rFonts w:ascii="Arial" w:hAnsi="Arial" w:cs="Arial"/>
          <w:color w:val="010000"/>
          <w:sz w:val="20"/>
        </w:rPr>
        <w:t>: VND 96 million (04 people; average remuneration: VND 2 million/person/month).</w:t>
      </w:r>
    </w:p>
    <w:p w14:paraId="56B06073" w14:textId="09856A1D"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lastRenderedPageBreak/>
        <w:t xml:space="preserve">Salary of executive </w:t>
      </w:r>
      <w:r w:rsidR="00B2677F">
        <w:rPr>
          <w:rFonts w:ascii="Arial" w:hAnsi="Arial" w:cs="Arial"/>
          <w:color w:val="010000"/>
          <w:sz w:val="20"/>
        </w:rPr>
        <w:t>management</w:t>
      </w:r>
      <w:r w:rsidRPr="006C6F11">
        <w:rPr>
          <w:rFonts w:ascii="Arial" w:hAnsi="Arial" w:cs="Arial"/>
          <w:color w:val="010000"/>
          <w:sz w:val="20"/>
        </w:rPr>
        <w:t>: VND 2,160 million (05 people; average salary: VND 36 million/person/month).</w:t>
      </w:r>
    </w:p>
    <w:p w14:paraId="4770F7B7" w14:textId="75CFD43C"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w:t>
      </w:r>
      <w:r w:rsidR="00BA495D" w:rsidRPr="006C6F11">
        <w:rPr>
          <w:rFonts w:ascii="Arial" w:hAnsi="Arial" w:cs="Arial"/>
          <w:color w:val="010000"/>
          <w:sz w:val="20"/>
        </w:rPr>
        <w:t xml:space="preserve"> </w:t>
      </w:r>
      <w:r w:rsidRPr="006C6F11">
        <w:rPr>
          <w:rFonts w:ascii="Arial" w:hAnsi="Arial" w:cs="Arial"/>
          <w:color w:val="010000"/>
          <w:sz w:val="20"/>
        </w:rPr>
        <w:t>Approve salaries and remunerations of the Board of Directors and the Supervisory Board as follows:</w:t>
      </w:r>
    </w:p>
    <w:p w14:paraId="53DBFC73" w14:textId="77777777" w:rsidR="007776EB" w:rsidRPr="006C6F11" w:rsidRDefault="009B160C" w:rsidP="006C6F11">
      <w:pPr>
        <w:pStyle w:val="ListParagraph"/>
        <w:numPr>
          <w:ilvl w:val="0"/>
          <w:numId w:val="1"/>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Salaries and remunerations of the Board of Directors and the Supervisory Board implemented in 2023: VND 535.2 million, in which:</w:t>
      </w:r>
    </w:p>
    <w:p w14:paraId="3970A0DE" w14:textId="77777777"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hAnsi="Arial" w:cs="Arial"/>
          <w:color w:val="010000"/>
          <w:sz w:val="20"/>
        </w:rPr>
      </w:pPr>
      <w:r w:rsidRPr="006C6F11">
        <w:rPr>
          <w:rFonts w:ascii="Arial" w:hAnsi="Arial" w:cs="Arial"/>
          <w:color w:val="010000"/>
          <w:sz w:val="20"/>
        </w:rPr>
        <w:t>Number of non-executive members of the Board of Directors and the Supervisory Board: 07 persons. Average remuneration: VND 1.71 million/person/month.</w:t>
      </w:r>
    </w:p>
    <w:p w14:paraId="30D83D5D" w14:textId="44083C25"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t>Number of executive members of the Board of Directors and the Supervisory Board</w:t>
      </w:r>
      <w:r w:rsidR="00C72D75" w:rsidRPr="006C6F11">
        <w:rPr>
          <w:rFonts w:ascii="Arial" w:hAnsi="Arial" w:cs="Arial"/>
          <w:color w:val="010000"/>
          <w:sz w:val="20"/>
        </w:rPr>
        <w:t>:</w:t>
      </w:r>
      <w:r w:rsidRPr="006C6F11">
        <w:rPr>
          <w:rFonts w:ascii="Arial" w:hAnsi="Arial" w:cs="Arial"/>
          <w:color w:val="010000"/>
          <w:sz w:val="20"/>
        </w:rPr>
        <w:t xml:space="preserve"> 01 </w:t>
      </w:r>
      <w:proofErr w:type="gramStart"/>
      <w:r w:rsidRPr="006C6F11">
        <w:rPr>
          <w:rFonts w:ascii="Arial" w:hAnsi="Arial" w:cs="Arial"/>
          <w:color w:val="010000"/>
          <w:sz w:val="20"/>
        </w:rPr>
        <w:t>person</w:t>
      </w:r>
      <w:proofErr w:type="gramEnd"/>
      <w:r w:rsidR="00C72D75" w:rsidRPr="006C6F11">
        <w:rPr>
          <w:rFonts w:ascii="Arial" w:hAnsi="Arial" w:cs="Arial"/>
          <w:color w:val="010000"/>
          <w:sz w:val="20"/>
        </w:rPr>
        <w:t>.</w:t>
      </w:r>
      <w:r w:rsidRPr="006C6F11">
        <w:rPr>
          <w:rFonts w:ascii="Arial" w:hAnsi="Arial" w:cs="Arial"/>
          <w:color w:val="010000"/>
          <w:sz w:val="20"/>
        </w:rPr>
        <w:t xml:space="preserve"> Salary</w:t>
      </w:r>
      <w:r w:rsidR="00C72D75" w:rsidRPr="006C6F11">
        <w:rPr>
          <w:rFonts w:ascii="Arial" w:hAnsi="Arial" w:cs="Arial"/>
          <w:color w:val="010000"/>
          <w:sz w:val="20"/>
        </w:rPr>
        <w:t>:</w:t>
      </w:r>
      <w:r w:rsidRPr="006C6F11">
        <w:rPr>
          <w:rFonts w:ascii="Arial" w:hAnsi="Arial" w:cs="Arial"/>
          <w:color w:val="010000"/>
          <w:sz w:val="20"/>
        </w:rPr>
        <w:t xml:space="preserve"> VND 32.6 million/month.</w:t>
      </w:r>
    </w:p>
    <w:p w14:paraId="72B6F505" w14:textId="1CEF99C9"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Salary and remuneration of the Board of Directors and the Supervisory Board for 2024: VND 576 million, in which:</w:t>
      </w:r>
    </w:p>
    <w:p w14:paraId="6FE2B1A8" w14:textId="77777777"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t>Number of non-executive members of the Board of Directors and the Supervisory Board: 07 persons. Average remuneration: VND 1.71 million/person/month.</w:t>
      </w:r>
    </w:p>
    <w:p w14:paraId="66C6692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In which:</w:t>
      </w:r>
    </w:p>
    <w:p w14:paraId="64BCBF07"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Remuneration for members of the Board of Directors: VND 2,000,000/member/month.</w:t>
      </w:r>
    </w:p>
    <w:p w14:paraId="37F962C9" w14:textId="4E6C87F5"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Remuneration for</w:t>
      </w:r>
      <w:r w:rsidR="00C72D75" w:rsidRPr="006C6F11">
        <w:rPr>
          <w:rFonts w:ascii="Arial" w:hAnsi="Arial" w:cs="Arial"/>
          <w:color w:val="010000"/>
          <w:sz w:val="20"/>
        </w:rPr>
        <w:t xml:space="preserve"> the Chief of the Supervisory Board</w:t>
      </w:r>
      <w:r w:rsidRPr="006C6F11">
        <w:rPr>
          <w:rFonts w:ascii="Arial" w:hAnsi="Arial" w:cs="Arial"/>
          <w:color w:val="010000"/>
          <w:sz w:val="20"/>
        </w:rPr>
        <w:t>: VND 2,000,000/month</w:t>
      </w:r>
    </w:p>
    <w:p w14:paraId="754F7A6E" w14:textId="34A8B41F"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Remuneration for </w:t>
      </w:r>
      <w:r w:rsidR="00C72D75" w:rsidRPr="006C6F11">
        <w:rPr>
          <w:rFonts w:ascii="Arial" w:hAnsi="Arial" w:cs="Arial"/>
          <w:color w:val="010000"/>
          <w:sz w:val="20"/>
        </w:rPr>
        <w:t xml:space="preserve">members </w:t>
      </w:r>
      <w:r w:rsidRPr="006C6F11">
        <w:rPr>
          <w:rFonts w:ascii="Arial" w:hAnsi="Arial" w:cs="Arial"/>
          <w:color w:val="010000"/>
          <w:sz w:val="20"/>
        </w:rPr>
        <w:t>of the Supervisory Board: VND 1,000,000/member/month.</w:t>
      </w:r>
    </w:p>
    <w:p w14:paraId="0518BDC2" w14:textId="4712E3A0" w:rsidR="007776EB" w:rsidRPr="006C6F11" w:rsidRDefault="009B160C" w:rsidP="006C6F11">
      <w:pPr>
        <w:pStyle w:val="ListParagraph"/>
        <w:numPr>
          <w:ilvl w:val="0"/>
          <w:numId w:val="2"/>
        </w:numPr>
        <w:tabs>
          <w:tab w:val="left" w:pos="720"/>
          <w:tab w:val="left" w:pos="1270"/>
        </w:tabs>
        <w:spacing w:after="120" w:line="360" w:lineRule="auto"/>
        <w:contextualSpacing w:val="0"/>
        <w:jc w:val="both"/>
        <w:rPr>
          <w:rFonts w:ascii="Arial" w:eastAsia="Arial" w:hAnsi="Arial" w:cs="Arial"/>
          <w:color w:val="010000"/>
          <w:sz w:val="20"/>
          <w:szCs w:val="20"/>
        </w:rPr>
      </w:pPr>
      <w:r w:rsidRPr="006C6F11">
        <w:rPr>
          <w:rFonts w:ascii="Arial" w:hAnsi="Arial" w:cs="Arial"/>
          <w:color w:val="010000"/>
          <w:sz w:val="20"/>
        </w:rPr>
        <w:t>Number of executive members of the Board of Directors and the Supervisory Board</w:t>
      </w:r>
      <w:r w:rsidR="00C72D75" w:rsidRPr="006C6F11">
        <w:rPr>
          <w:rFonts w:ascii="Arial" w:hAnsi="Arial" w:cs="Arial"/>
          <w:color w:val="010000"/>
          <w:sz w:val="20"/>
        </w:rPr>
        <w:t>:</w:t>
      </w:r>
      <w:r w:rsidRPr="006C6F11">
        <w:rPr>
          <w:rFonts w:ascii="Arial" w:hAnsi="Arial" w:cs="Arial"/>
          <w:color w:val="010000"/>
          <w:sz w:val="20"/>
        </w:rPr>
        <w:t xml:space="preserve"> 01 </w:t>
      </w:r>
      <w:proofErr w:type="gramStart"/>
      <w:r w:rsidRPr="006C6F11">
        <w:rPr>
          <w:rFonts w:ascii="Arial" w:hAnsi="Arial" w:cs="Arial"/>
          <w:color w:val="010000"/>
          <w:sz w:val="20"/>
        </w:rPr>
        <w:t>person</w:t>
      </w:r>
      <w:proofErr w:type="gramEnd"/>
      <w:r w:rsidRPr="006C6F11">
        <w:rPr>
          <w:rFonts w:ascii="Arial" w:hAnsi="Arial" w:cs="Arial"/>
          <w:color w:val="010000"/>
          <w:sz w:val="20"/>
        </w:rPr>
        <w:t>. Average salary: VND 36 million/month.</w:t>
      </w:r>
    </w:p>
    <w:p w14:paraId="21346F41" w14:textId="228C4FF4"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 xml:space="preserve">‎‎Article 7. </w:t>
      </w:r>
      <w:r w:rsidR="00C72D75" w:rsidRPr="006C6F11">
        <w:rPr>
          <w:rFonts w:ascii="Arial" w:hAnsi="Arial" w:cs="Arial"/>
          <w:color w:val="010000"/>
          <w:sz w:val="20"/>
        </w:rPr>
        <w:t xml:space="preserve">Approve contents that the </w:t>
      </w:r>
      <w:r w:rsidR="00B2677F">
        <w:rPr>
          <w:rFonts w:ascii="Arial" w:hAnsi="Arial" w:cs="Arial"/>
          <w:color w:val="010000"/>
          <w:sz w:val="20"/>
        </w:rPr>
        <w:t>General Meeting</w:t>
      </w:r>
      <w:r w:rsidR="00C72D75" w:rsidRPr="006C6F11">
        <w:rPr>
          <w:rFonts w:ascii="Arial" w:hAnsi="Arial" w:cs="Arial"/>
          <w:color w:val="010000"/>
          <w:sz w:val="20"/>
        </w:rPr>
        <w:t xml:space="preserve"> authorized the Board of Directors to decide on certain issues in the Company’s operation</w:t>
      </w:r>
      <w:r w:rsidRPr="006C6F11">
        <w:rPr>
          <w:rFonts w:ascii="Arial" w:hAnsi="Arial" w:cs="Arial"/>
          <w:color w:val="010000"/>
          <w:sz w:val="20"/>
        </w:rPr>
        <w:t>.</w:t>
      </w:r>
    </w:p>
    <w:p w14:paraId="739CD7CB" w14:textId="0BA5F38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1.</w:t>
      </w:r>
      <w:r w:rsidR="00BA495D" w:rsidRPr="006C6F11">
        <w:rPr>
          <w:rFonts w:ascii="Arial" w:hAnsi="Arial" w:cs="Arial"/>
          <w:color w:val="010000"/>
          <w:sz w:val="20"/>
        </w:rPr>
        <w:t xml:space="preserve"> </w:t>
      </w:r>
      <w:r w:rsidRPr="006C6F11">
        <w:rPr>
          <w:rFonts w:ascii="Arial" w:hAnsi="Arial" w:cs="Arial"/>
          <w:color w:val="010000"/>
          <w:sz w:val="20"/>
        </w:rPr>
        <w:tab/>
        <w:t xml:space="preserve">Approve the work content that the Board of Directors has implemented as authorized/assigned in the </w:t>
      </w:r>
      <w:r w:rsidR="00C72D75" w:rsidRPr="006C6F11">
        <w:rPr>
          <w:rFonts w:ascii="Arial" w:hAnsi="Arial" w:cs="Arial"/>
          <w:color w:val="010000"/>
          <w:sz w:val="20"/>
        </w:rPr>
        <w:t xml:space="preserve">General Mandate </w:t>
      </w:r>
      <w:r w:rsidRPr="006C6F11">
        <w:rPr>
          <w:rFonts w:ascii="Arial" w:hAnsi="Arial" w:cs="Arial"/>
          <w:color w:val="010000"/>
          <w:sz w:val="20"/>
        </w:rPr>
        <w:t>2023:</w:t>
      </w:r>
    </w:p>
    <w:p w14:paraId="630F7603" w14:textId="395BBD45"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Assign the Board of Directors of the company to select a qualified</w:t>
      </w:r>
      <w:r w:rsidR="00C72D75" w:rsidRPr="006C6F11">
        <w:rPr>
          <w:rFonts w:ascii="Arial" w:hAnsi="Arial" w:cs="Arial"/>
          <w:color w:val="010000"/>
          <w:sz w:val="20"/>
        </w:rPr>
        <w:t xml:space="preserve"> audit company</w:t>
      </w:r>
      <w:r w:rsidRPr="006C6F11">
        <w:rPr>
          <w:rFonts w:ascii="Arial" w:hAnsi="Arial" w:cs="Arial"/>
          <w:color w:val="010000"/>
          <w:sz w:val="20"/>
        </w:rPr>
        <w:t xml:space="preserve"> according to the provisions of law to audit the Company's </w:t>
      </w:r>
      <w:r w:rsidR="00C72D75" w:rsidRPr="006C6F11">
        <w:rPr>
          <w:rFonts w:ascii="Arial" w:hAnsi="Arial" w:cs="Arial"/>
          <w:color w:val="010000"/>
          <w:sz w:val="20"/>
        </w:rPr>
        <w:t xml:space="preserve">Financial Statements </w:t>
      </w:r>
      <w:r w:rsidRPr="006C6F11">
        <w:rPr>
          <w:rFonts w:ascii="Arial" w:hAnsi="Arial" w:cs="Arial"/>
          <w:color w:val="010000"/>
          <w:sz w:val="20"/>
        </w:rPr>
        <w:t xml:space="preserve">2023: The Board of Directors has selected CPA VIETNAM Auditing Company Limited to </w:t>
      </w:r>
      <w:r w:rsidR="00C72D75" w:rsidRPr="006C6F11">
        <w:rPr>
          <w:rFonts w:ascii="Arial" w:hAnsi="Arial" w:cs="Arial"/>
          <w:color w:val="010000"/>
          <w:sz w:val="20"/>
        </w:rPr>
        <w:t xml:space="preserve">audit the Financial Statements 2023 </w:t>
      </w:r>
      <w:r w:rsidRPr="006C6F11">
        <w:rPr>
          <w:rFonts w:ascii="Arial" w:hAnsi="Arial" w:cs="Arial"/>
          <w:color w:val="010000"/>
          <w:sz w:val="20"/>
        </w:rPr>
        <w:t>in accordance with regulations.</w:t>
      </w:r>
    </w:p>
    <w:p w14:paraId="632F4740" w14:textId="38F731CA"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hAnsi="Arial" w:cs="Arial"/>
          <w:color w:val="010000"/>
          <w:sz w:val="20"/>
        </w:rPr>
      </w:pPr>
      <w:r w:rsidRPr="006C6F11">
        <w:rPr>
          <w:rFonts w:ascii="Arial" w:hAnsi="Arial" w:cs="Arial"/>
          <w:color w:val="010000"/>
          <w:sz w:val="20"/>
        </w:rPr>
        <w:t xml:space="preserve">Approve adjustments to financial data and </w:t>
      </w:r>
      <w:r w:rsidR="00C72D75" w:rsidRPr="006C6F11">
        <w:rPr>
          <w:rFonts w:ascii="Arial" w:hAnsi="Arial" w:cs="Arial"/>
          <w:color w:val="010000"/>
          <w:sz w:val="20"/>
        </w:rPr>
        <w:t xml:space="preserve">Financial Statements </w:t>
      </w:r>
      <w:r w:rsidRPr="006C6F11">
        <w:rPr>
          <w:rFonts w:ascii="Arial" w:hAnsi="Arial" w:cs="Arial"/>
          <w:color w:val="010000"/>
          <w:sz w:val="20"/>
        </w:rPr>
        <w:t xml:space="preserve">according to conclusions of </w:t>
      </w:r>
      <w:r w:rsidR="00C72D75" w:rsidRPr="006C6F11">
        <w:rPr>
          <w:rFonts w:ascii="Arial" w:hAnsi="Arial" w:cs="Arial"/>
          <w:color w:val="010000"/>
          <w:sz w:val="20"/>
        </w:rPr>
        <w:t>the audit company</w:t>
      </w:r>
      <w:r w:rsidRPr="006C6F11">
        <w:rPr>
          <w:rFonts w:ascii="Arial" w:hAnsi="Arial" w:cs="Arial"/>
          <w:color w:val="010000"/>
          <w:sz w:val="20"/>
        </w:rPr>
        <w:t xml:space="preserve">, inspection and examination agencies, decisions of the </w:t>
      </w:r>
      <w:r w:rsidR="00B2677F">
        <w:rPr>
          <w:rFonts w:ascii="Arial" w:hAnsi="Arial" w:cs="Arial"/>
          <w:color w:val="010000"/>
          <w:sz w:val="20"/>
        </w:rPr>
        <w:t>General Meeting</w:t>
      </w:r>
      <w:r w:rsidRPr="006C6F11">
        <w:rPr>
          <w:rFonts w:ascii="Arial" w:hAnsi="Arial" w:cs="Arial"/>
          <w:color w:val="010000"/>
          <w:sz w:val="20"/>
        </w:rPr>
        <w:t xml:space="preserve"> (if any): The Board of Directors did not implement </w:t>
      </w:r>
      <w:r w:rsidR="00C72D75" w:rsidRPr="006C6F11">
        <w:rPr>
          <w:rFonts w:ascii="Arial" w:hAnsi="Arial" w:cs="Arial"/>
          <w:color w:val="010000"/>
          <w:sz w:val="20"/>
        </w:rPr>
        <w:t>this</w:t>
      </w:r>
      <w:r w:rsidR="00412B09" w:rsidRPr="006C6F11">
        <w:rPr>
          <w:rFonts w:ascii="Arial" w:hAnsi="Arial" w:cs="Arial"/>
          <w:color w:val="010000"/>
          <w:sz w:val="20"/>
        </w:rPr>
        <w:t xml:space="preserve"> </w:t>
      </w:r>
      <w:r w:rsidRPr="006C6F11">
        <w:rPr>
          <w:rFonts w:ascii="Arial" w:hAnsi="Arial" w:cs="Arial"/>
          <w:color w:val="010000"/>
          <w:sz w:val="20"/>
        </w:rPr>
        <w:t>(no adjustments required)</w:t>
      </w:r>
    </w:p>
    <w:p w14:paraId="27CD4D40" w14:textId="77777777"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Approve the Board of Directors to research, search for information and decide to participate in bidding to select project investors, auction land use rights, joint ventures, cooperation, receive project transfer, contributing capital to establish a project implementation enterprise, receiving transfer of shares/contributed capital of project enterprises to deploy new investment projects to ensure efficient use of capital:</w:t>
      </w:r>
    </w:p>
    <w:p w14:paraId="0A19526A" w14:textId="58839606"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lastRenderedPageBreak/>
        <w:t xml:space="preserve">In 2023, the Board of Directors approved and assigned the </w:t>
      </w:r>
      <w:r w:rsidR="00B2677F">
        <w:rPr>
          <w:rFonts w:ascii="Arial" w:hAnsi="Arial" w:cs="Arial"/>
          <w:color w:val="010000"/>
          <w:sz w:val="20"/>
        </w:rPr>
        <w:t>management</w:t>
      </w:r>
      <w:r w:rsidR="00C72D75" w:rsidRPr="006C6F11">
        <w:rPr>
          <w:rFonts w:ascii="Arial" w:hAnsi="Arial" w:cs="Arial"/>
          <w:color w:val="010000"/>
          <w:sz w:val="20"/>
        </w:rPr>
        <w:t xml:space="preserve"> </w:t>
      </w:r>
      <w:r w:rsidRPr="006C6F11">
        <w:rPr>
          <w:rFonts w:ascii="Arial" w:hAnsi="Arial" w:cs="Arial"/>
          <w:color w:val="010000"/>
          <w:sz w:val="20"/>
        </w:rPr>
        <w:t xml:space="preserve">of the joint venture to cooperate with </w:t>
      </w:r>
      <w:proofErr w:type="spellStart"/>
      <w:r w:rsidRPr="006C6F11">
        <w:rPr>
          <w:rFonts w:ascii="Arial" w:hAnsi="Arial" w:cs="Arial"/>
          <w:color w:val="010000"/>
          <w:sz w:val="20"/>
        </w:rPr>
        <w:t>C</w:t>
      </w:r>
      <w:r w:rsidR="006C6F11" w:rsidRPr="006C6F11">
        <w:rPr>
          <w:rFonts w:ascii="Arial" w:hAnsi="Arial" w:cs="Arial"/>
          <w:color w:val="010000"/>
          <w:sz w:val="20"/>
        </w:rPr>
        <w:t>ô</w:t>
      </w:r>
      <w:r w:rsidRPr="006C6F11">
        <w:rPr>
          <w:rFonts w:ascii="Arial" w:hAnsi="Arial" w:cs="Arial"/>
          <w:color w:val="010000"/>
          <w:sz w:val="20"/>
        </w:rPr>
        <w:t>ng</w:t>
      </w:r>
      <w:proofErr w:type="spellEnd"/>
      <w:r w:rsidRPr="006C6F11">
        <w:rPr>
          <w:rFonts w:ascii="Arial" w:hAnsi="Arial" w:cs="Arial"/>
          <w:color w:val="010000"/>
          <w:sz w:val="20"/>
        </w:rPr>
        <w:t xml:space="preserve"> ty </w:t>
      </w:r>
      <w:proofErr w:type="spellStart"/>
      <w:r w:rsidRPr="006C6F11">
        <w:rPr>
          <w:rFonts w:ascii="Arial" w:hAnsi="Arial" w:cs="Arial"/>
          <w:color w:val="010000"/>
          <w:sz w:val="20"/>
        </w:rPr>
        <w:t>cổ</w:t>
      </w:r>
      <w:proofErr w:type="spellEnd"/>
      <w:r w:rsidRPr="006C6F11">
        <w:rPr>
          <w:rFonts w:ascii="Arial" w:hAnsi="Arial" w:cs="Arial"/>
          <w:color w:val="010000"/>
          <w:sz w:val="20"/>
        </w:rPr>
        <w:t xml:space="preserve"> </w:t>
      </w:r>
      <w:proofErr w:type="spellStart"/>
      <w:r w:rsidRPr="006C6F11">
        <w:rPr>
          <w:rFonts w:ascii="Arial" w:hAnsi="Arial" w:cs="Arial"/>
          <w:color w:val="010000"/>
          <w:sz w:val="20"/>
        </w:rPr>
        <w:t>phần</w:t>
      </w:r>
      <w:proofErr w:type="spellEnd"/>
      <w:r w:rsidRPr="006C6F11">
        <w:rPr>
          <w:rFonts w:ascii="Arial" w:hAnsi="Arial" w:cs="Arial"/>
          <w:color w:val="010000"/>
          <w:sz w:val="20"/>
        </w:rPr>
        <w:t xml:space="preserve"> </w:t>
      </w:r>
      <w:proofErr w:type="spellStart"/>
      <w:r w:rsidRPr="006C6F11">
        <w:rPr>
          <w:rFonts w:ascii="Arial" w:hAnsi="Arial" w:cs="Arial"/>
          <w:color w:val="010000"/>
          <w:sz w:val="20"/>
        </w:rPr>
        <w:t>liên</w:t>
      </w:r>
      <w:proofErr w:type="spellEnd"/>
      <w:r w:rsidRPr="006C6F11">
        <w:rPr>
          <w:rFonts w:ascii="Arial" w:hAnsi="Arial" w:cs="Arial"/>
          <w:color w:val="010000"/>
          <w:sz w:val="20"/>
        </w:rPr>
        <w:t xml:space="preserve"> </w:t>
      </w:r>
      <w:proofErr w:type="spellStart"/>
      <w:r w:rsidRPr="006C6F11">
        <w:rPr>
          <w:rFonts w:ascii="Arial" w:hAnsi="Arial" w:cs="Arial"/>
          <w:color w:val="010000"/>
          <w:sz w:val="20"/>
        </w:rPr>
        <w:t>doanh</w:t>
      </w:r>
      <w:proofErr w:type="spellEnd"/>
      <w:r w:rsidRPr="006C6F11">
        <w:rPr>
          <w:rFonts w:ascii="Arial" w:hAnsi="Arial" w:cs="Arial"/>
          <w:color w:val="010000"/>
          <w:sz w:val="20"/>
        </w:rPr>
        <w:t xml:space="preserve"> HT (tentatively translated as HT Vietnam Joint Venture Joint Stock Company) to participate in bidding to select investors to implement the Urban Area No. 1 project, Le Hong Phong Street, Song Cong City, Thai Nguyen Province (land use scale 12.2 hectares, </w:t>
      </w:r>
      <w:r w:rsidR="00412B09" w:rsidRPr="006C6F11">
        <w:rPr>
          <w:rFonts w:ascii="Arial" w:hAnsi="Arial" w:cs="Arial"/>
          <w:color w:val="010000"/>
          <w:sz w:val="20"/>
        </w:rPr>
        <w:t>total investment of</w:t>
      </w:r>
      <w:r w:rsidRPr="006C6F11">
        <w:rPr>
          <w:rFonts w:ascii="Arial" w:hAnsi="Arial" w:cs="Arial"/>
          <w:color w:val="010000"/>
          <w:sz w:val="20"/>
        </w:rPr>
        <w:t xml:space="preserve"> VND 383.5 billion - according to investment policy approval, the </w:t>
      </w:r>
      <w:r w:rsidR="00412B09" w:rsidRPr="006C6F11">
        <w:rPr>
          <w:rFonts w:ascii="Arial" w:hAnsi="Arial" w:cs="Arial"/>
          <w:color w:val="010000"/>
          <w:sz w:val="20"/>
        </w:rPr>
        <w:t xml:space="preserve">rate </w:t>
      </w:r>
      <w:r w:rsidRPr="006C6F11">
        <w:rPr>
          <w:rFonts w:ascii="Arial" w:hAnsi="Arial" w:cs="Arial"/>
          <w:color w:val="010000"/>
          <w:sz w:val="20"/>
        </w:rPr>
        <w:t>of HUD2 capital contribution to participating in the joint venture is 30%).</w:t>
      </w:r>
    </w:p>
    <w:p w14:paraId="087B6EE6" w14:textId="000880B9"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Assign the Board of Directors to approve project settlement for projects under the authority of the </w:t>
      </w:r>
      <w:r w:rsidR="00B2677F">
        <w:rPr>
          <w:rFonts w:ascii="Arial" w:hAnsi="Arial" w:cs="Arial"/>
          <w:color w:val="010000"/>
          <w:sz w:val="20"/>
        </w:rPr>
        <w:t>General Meeting</w:t>
      </w:r>
      <w:r w:rsidRPr="006C6F11">
        <w:rPr>
          <w:rFonts w:ascii="Arial" w:hAnsi="Arial" w:cs="Arial"/>
          <w:color w:val="010000"/>
          <w:sz w:val="20"/>
        </w:rPr>
        <w:t xml:space="preserve"> to decide on investment: The Board of Directors has not implemented yet (as the Company is still in the process of capital settlement for investment projects under the authority of the </w:t>
      </w:r>
      <w:r w:rsidR="00B2677F">
        <w:rPr>
          <w:rFonts w:ascii="Arial" w:hAnsi="Arial" w:cs="Arial"/>
          <w:color w:val="010000"/>
          <w:sz w:val="20"/>
        </w:rPr>
        <w:t>General Meeting</w:t>
      </w:r>
      <w:r w:rsidRPr="006C6F11">
        <w:rPr>
          <w:rFonts w:ascii="Arial" w:hAnsi="Arial" w:cs="Arial"/>
          <w:color w:val="010000"/>
          <w:sz w:val="20"/>
        </w:rPr>
        <w:t xml:space="preserve">). </w:t>
      </w:r>
    </w:p>
    <w:p w14:paraId="025A1E7D" w14:textId="47555860"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2.</w:t>
      </w:r>
      <w:r w:rsidR="00BA495D" w:rsidRPr="006C6F11">
        <w:rPr>
          <w:rFonts w:ascii="Arial" w:hAnsi="Arial" w:cs="Arial"/>
          <w:color w:val="010000"/>
          <w:sz w:val="20"/>
        </w:rPr>
        <w:t xml:space="preserve"> </w:t>
      </w:r>
      <w:r w:rsidRPr="006C6F11">
        <w:rPr>
          <w:rFonts w:ascii="Arial" w:hAnsi="Arial" w:cs="Arial"/>
          <w:color w:val="010000"/>
          <w:sz w:val="20"/>
        </w:rPr>
        <w:tab/>
        <w:t xml:space="preserve">The </w:t>
      </w:r>
      <w:r w:rsidR="00B2677F">
        <w:rPr>
          <w:rFonts w:ascii="Arial" w:hAnsi="Arial" w:cs="Arial"/>
          <w:color w:val="010000"/>
          <w:sz w:val="20"/>
        </w:rPr>
        <w:t>General Meeting</w:t>
      </w:r>
      <w:r w:rsidRPr="006C6F11">
        <w:rPr>
          <w:rFonts w:ascii="Arial" w:hAnsi="Arial" w:cs="Arial"/>
          <w:color w:val="010000"/>
          <w:sz w:val="20"/>
        </w:rPr>
        <w:t xml:space="preserve"> assigned the Board of Directors of the Company to decide on a number of contents in the process of implementing production and business activities between the Annual General Meetings of Shareholders </w:t>
      </w:r>
      <w:r w:rsidR="00412B09" w:rsidRPr="006C6F11">
        <w:rPr>
          <w:rFonts w:ascii="Arial" w:hAnsi="Arial" w:cs="Arial"/>
          <w:color w:val="010000"/>
          <w:sz w:val="20"/>
        </w:rPr>
        <w:t xml:space="preserve">2024 and 2025 </w:t>
      </w:r>
      <w:r w:rsidRPr="006C6F11">
        <w:rPr>
          <w:rFonts w:ascii="Arial" w:hAnsi="Arial" w:cs="Arial"/>
          <w:color w:val="010000"/>
          <w:sz w:val="20"/>
        </w:rPr>
        <w:t>as follows:</w:t>
      </w:r>
    </w:p>
    <w:p w14:paraId="565045F9" w14:textId="2AE0C2CD"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Select a qualified audit company according to the provisions of law to audit the Company's Financial Statements</w:t>
      </w:r>
      <w:r w:rsidR="00583AC0" w:rsidRPr="006C6F11">
        <w:rPr>
          <w:rFonts w:ascii="Arial" w:hAnsi="Arial" w:cs="Arial"/>
          <w:color w:val="010000"/>
          <w:sz w:val="20"/>
        </w:rPr>
        <w:t xml:space="preserve"> 2024</w:t>
      </w:r>
      <w:r w:rsidRPr="006C6F11">
        <w:rPr>
          <w:rFonts w:ascii="Arial" w:hAnsi="Arial" w:cs="Arial"/>
          <w:color w:val="010000"/>
          <w:sz w:val="20"/>
        </w:rPr>
        <w:t xml:space="preserve">, and report the results to the </w:t>
      </w:r>
      <w:r w:rsidR="00B2677F">
        <w:rPr>
          <w:rFonts w:ascii="Arial" w:hAnsi="Arial" w:cs="Arial"/>
          <w:color w:val="010000"/>
          <w:sz w:val="20"/>
        </w:rPr>
        <w:t>General Meeting</w:t>
      </w:r>
      <w:r w:rsidRPr="006C6F11">
        <w:rPr>
          <w:rFonts w:ascii="Arial" w:hAnsi="Arial" w:cs="Arial"/>
          <w:color w:val="010000"/>
          <w:sz w:val="20"/>
        </w:rPr>
        <w:t xml:space="preserve"> at the nearest general meeting.</w:t>
      </w:r>
    </w:p>
    <w:p w14:paraId="609953E0" w14:textId="4E61D7E4"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Approve adjustments to financial data and </w:t>
      </w:r>
      <w:r w:rsidR="00412B09" w:rsidRPr="006C6F11">
        <w:rPr>
          <w:rFonts w:ascii="Arial" w:hAnsi="Arial" w:cs="Arial"/>
          <w:color w:val="010000"/>
          <w:sz w:val="20"/>
        </w:rPr>
        <w:t>Financial Statements</w:t>
      </w:r>
      <w:r w:rsidRPr="006C6F11">
        <w:rPr>
          <w:rFonts w:ascii="Arial" w:hAnsi="Arial" w:cs="Arial"/>
          <w:color w:val="010000"/>
          <w:sz w:val="20"/>
        </w:rPr>
        <w:t xml:space="preserve"> according to conclusions of auditing, inspection and examination agencies, decisions of the </w:t>
      </w:r>
      <w:r w:rsidR="00B2677F">
        <w:rPr>
          <w:rFonts w:ascii="Arial" w:hAnsi="Arial" w:cs="Arial"/>
          <w:color w:val="010000"/>
          <w:sz w:val="20"/>
        </w:rPr>
        <w:t>General Meeting</w:t>
      </w:r>
      <w:r w:rsidRPr="006C6F11">
        <w:rPr>
          <w:rFonts w:ascii="Arial" w:hAnsi="Arial" w:cs="Arial"/>
          <w:color w:val="010000"/>
          <w:sz w:val="20"/>
        </w:rPr>
        <w:t xml:space="preserve"> (if any), report the results to the </w:t>
      </w:r>
      <w:r w:rsidR="00B2677F">
        <w:rPr>
          <w:rFonts w:ascii="Arial" w:hAnsi="Arial" w:cs="Arial"/>
          <w:color w:val="010000"/>
          <w:sz w:val="20"/>
        </w:rPr>
        <w:t>General Meeting</w:t>
      </w:r>
      <w:r w:rsidRPr="006C6F11">
        <w:rPr>
          <w:rFonts w:ascii="Arial" w:hAnsi="Arial" w:cs="Arial"/>
          <w:color w:val="010000"/>
          <w:sz w:val="20"/>
        </w:rPr>
        <w:t xml:space="preserve"> at the nearest general meeting.</w:t>
      </w:r>
    </w:p>
    <w:p w14:paraId="753390DD" w14:textId="250698CE"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For new project development: For new project development: approve the Board of Directors to research, seek information and decide to participate in bidding to select investors, auction land use rights, joint ventures, cooperation, receive project transfer, contribute capital to establish a project implementation enterprise, receive transfer of shares/capital contributions from project enterprises to implement new investment projects, ensure effective use of capital, and report the results to the </w:t>
      </w:r>
      <w:r w:rsidR="00B2677F">
        <w:rPr>
          <w:rFonts w:ascii="Arial" w:hAnsi="Arial" w:cs="Arial"/>
          <w:color w:val="010000"/>
          <w:sz w:val="20"/>
        </w:rPr>
        <w:t>General Meeting</w:t>
      </w:r>
      <w:r w:rsidRPr="006C6F11">
        <w:rPr>
          <w:rFonts w:ascii="Arial" w:hAnsi="Arial" w:cs="Arial"/>
          <w:color w:val="010000"/>
          <w:sz w:val="20"/>
        </w:rPr>
        <w:t xml:space="preserve"> at the nearest general meeting.</w:t>
      </w:r>
    </w:p>
    <w:p w14:paraId="56495BFB" w14:textId="3B66C037"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For project investment capital settlement: assign the Board of Directors to approve project settlement for projects under the authority of the </w:t>
      </w:r>
      <w:r w:rsidR="00B2677F">
        <w:rPr>
          <w:rFonts w:ascii="Arial" w:hAnsi="Arial" w:cs="Arial"/>
          <w:color w:val="010000"/>
          <w:sz w:val="20"/>
        </w:rPr>
        <w:t>General Meeting</w:t>
      </w:r>
      <w:r w:rsidRPr="006C6F11">
        <w:rPr>
          <w:rFonts w:ascii="Arial" w:hAnsi="Arial" w:cs="Arial"/>
          <w:color w:val="010000"/>
          <w:sz w:val="20"/>
        </w:rPr>
        <w:t xml:space="preserve"> to decide on investment, and report the results to the </w:t>
      </w:r>
      <w:r w:rsidR="00B2677F">
        <w:rPr>
          <w:rFonts w:ascii="Arial" w:hAnsi="Arial" w:cs="Arial"/>
          <w:color w:val="010000"/>
          <w:sz w:val="20"/>
        </w:rPr>
        <w:t>General Meeting</w:t>
      </w:r>
      <w:r w:rsidRPr="006C6F11">
        <w:rPr>
          <w:rFonts w:ascii="Arial" w:hAnsi="Arial" w:cs="Arial"/>
          <w:color w:val="010000"/>
          <w:sz w:val="20"/>
        </w:rPr>
        <w:t xml:space="preserve"> at the nearest general meeting.</w:t>
      </w:r>
    </w:p>
    <w:p w14:paraId="575A8306" w14:textId="77777777" w:rsidR="007776EB" w:rsidRPr="006C6F11" w:rsidRDefault="009B160C" w:rsidP="006C6F11">
      <w:pPr>
        <w:tabs>
          <w:tab w:val="left" w:pos="720"/>
          <w:tab w:val="left" w:pos="1270"/>
        </w:tabs>
        <w:spacing w:after="120" w:line="360" w:lineRule="auto"/>
        <w:jc w:val="both"/>
        <w:rPr>
          <w:rFonts w:ascii="Arial" w:eastAsia="Arial" w:hAnsi="Arial" w:cs="Arial"/>
          <w:color w:val="010000"/>
          <w:sz w:val="20"/>
          <w:szCs w:val="20"/>
        </w:rPr>
      </w:pPr>
      <w:r w:rsidRPr="006C6F11">
        <w:rPr>
          <w:rFonts w:ascii="Arial" w:hAnsi="Arial" w:cs="Arial"/>
          <w:color w:val="010000"/>
          <w:sz w:val="20"/>
        </w:rPr>
        <w:t>‎‎Article 8. Terms of enforcement</w:t>
      </w:r>
    </w:p>
    <w:p w14:paraId="46616B06" w14:textId="6A18B1D1"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This General Mandate takes effect from the date of signing.</w:t>
      </w:r>
    </w:p>
    <w:p w14:paraId="2253A9F6" w14:textId="32B886E0"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hAnsi="Arial" w:cs="Arial"/>
          <w:color w:val="010000"/>
          <w:sz w:val="20"/>
        </w:rPr>
      </w:pPr>
      <w:r w:rsidRPr="006C6F11">
        <w:rPr>
          <w:rFonts w:ascii="Arial" w:hAnsi="Arial" w:cs="Arial"/>
          <w:color w:val="010000"/>
          <w:sz w:val="20"/>
        </w:rPr>
        <w:t xml:space="preserve">The </w:t>
      </w:r>
      <w:r w:rsidR="00B2677F">
        <w:rPr>
          <w:rFonts w:ascii="Arial" w:hAnsi="Arial" w:cs="Arial"/>
          <w:color w:val="010000"/>
          <w:sz w:val="20"/>
        </w:rPr>
        <w:t>General Meeting</w:t>
      </w:r>
      <w:r w:rsidRPr="006C6F11">
        <w:rPr>
          <w:rFonts w:ascii="Arial" w:hAnsi="Arial" w:cs="Arial"/>
          <w:color w:val="010000"/>
          <w:sz w:val="20"/>
        </w:rPr>
        <w:t xml:space="preserve"> assigned the Board of Directors to implement the contents resolved by the </w:t>
      </w:r>
      <w:r w:rsidR="00B2677F">
        <w:rPr>
          <w:rFonts w:ascii="Arial" w:hAnsi="Arial" w:cs="Arial"/>
          <w:color w:val="010000"/>
          <w:sz w:val="20"/>
        </w:rPr>
        <w:t>General Meeting</w:t>
      </w:r>
      <w:r w:rsidRPr="006C6F11">
        <w:rPr>
          <w:rFonts w:ascii="Arial" w:hAnsi="Arial" w:cs="Arial"/>
          <w:color w:val="010000"/>
          <w:sz w:val="20"/>
        </w:rPr>
        <w:t xml:space="preserve"> on the basis of compliance with </w:t>
      </w:r>
      <w:r w:rsidR="00B2677F">
        <w:rPr>
          <w:rFonts w:ascii="Arial" w:hAnsi="Arial" w:cs="Arial"/>
          <w:color w:val="010000"/>
          <w:sz w:val="20"/>
        </w:rPr>
        <w:t>applicable la</w:t>
      </w:r>
      <w:r w:rsidRPr="006C6F11">
        <w:rPr>
          <w:rFonts w:ascii="Arial" w:hAnsi="Arial" w:cs="Arial"/>
          <w:color w:val="010000"/>
          <w:sz w:val="20"/>
        </w:rPr>
        <w:t>w</w:t>
      </w:r>
      <w:r w:rsidR="00B2677F">
        <w:rPr>
          <w:rFonts w:ascii="Arial" w:hAnsi="Arial" w:cs="Arial"/>
          <w:color w:val="010000"/>
          <w:sz w:val="20"/>
        </w:rPr>
        <w:t>s</w:t>
      </w:r>
      <w:r w:rsidRPr="006C6F11">
        <w:rPr>
          <w:rFonts w:ascii="Arial" w:hAnsi="Arial" w:cs="Arial"/>
          <w:color w:val="010000"/>
          <w:sz w:val="20"/>
        </w:rPr>
        <w:t xml:space="preserve"> and the Company's Charter of Organization and Operation.</w:t>
      </w:r>
    </w:p>
    <w:p w14:paraId="7EAC019A" w14:textId="308F9CEF"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The Board of Directors and the </w:t>
      </w:r>
      <w:r w:rsidR="00B2677F">
        <w:rPr>
          <w:rFonts w:ascii="Arial" w:hAnsi="Arial" w:cs="Arial"/>
          <w:color w:val="010000"/>
          <w:sz w:val="20"/>
        </w:rPr>
        <w:t>Executive Board</w:t>
      </w:r>
      <w:r w:rsidR="00412B09" w:rsidRPr="006C6F11">
        <w:rPr>
          <w:rFonts w:ascii="Arial" w:hAnsi="Arial" w:cs="Arial"/>
          <w:color w:val="010000"/>
          <w:sz w:val="20"/>
        </w:rPr>
        <w:t xml:space="preserve"> </w:t>
      </w:r>
      <w:r w:rsidRPr="006C6F11">
        <w:rPr>
          <w:rFonts w:ascii="Arial" w:hAnsi="Arial" w:cs="Arial"/>
          <w:color w:val="010000"/>
          <w:sz w:val="20"/>
        </w:rPr>
        <w:t xml:space="preserve">of the Company report, analyze, evaluate and are </w:t>
      </w:r>
      <w:r w:rsidR="00412B09" w:rsidRPr="006C6F11">
        <w:rPr>
          <w:rFonts w:ascii="Arial" w:hAnsi="Arial" w:cs="Arial"/>
          <w:color w:val="010000"/>
          <w:sz w:val="20"/>
        </w:rPr>
        <w:t>responsible for explaining to</w:t>
      </w:r>
      <w:r w:rsidRPr="006C6F11">
        <w:rPr>
          <w:rFonts w:ascii="Arial" w:hAnsi="Arial" w:cs="Arial"/>
          <w:color w:val="010000"/>
          <w:sz w:val="20"/>
        </w:rPr>
        <w:t xml:space="preserve"> shareholders and the </w:t>
      </w:r>
      <w:r w:rsidR="00B2677F">
        <w:rPr>
          <w:rFonts w:ascii="Arial" w:hAnsi="Arial" w:cs="Arial"/>
          <w:color w:val="010000"/>
          <w:sz w:val="20"/>
        </w:rPr>
        <w:t>General Meeting</w:t>
      </w:r>
      <w:r w:rsidRPr="006C6F11">
        <w:rPr>
          <w:rFonts w:ascii="Arial" w:hAnsi="Arial" w:cs="Arial"/>
          <w:color w:val="010000"/>
          <w:sz w:val="20"/>
        </w:rPr>
        <w:t xml:space="preserve"> the results and progress of all contents assigned by the Annual </w:t>
      </w:r>
      <w:r w:rsidR="00B2677F">
        <w:rPr>
          <w:rFonts w:ascii="Arial" w:hAnsi="Arial" w:cs="Arial"/>
          <w:color w:val="010000"/>
          <w:sz w:val="20"/>
        </w:rPr>
        <w:t>General Meeting</w:t>
      </w:r>
      <w:r w:rsidRPr="006C6F11">
        <w:rPr>
          <w:rFonts w:ascii="Arial" w:hAnsi="Arial" w:cs="Arial"/>
          <w:color w:val="010000"/>
          <w:sz w:val="20"/>
        </w:rPr>
        <w:t xml:space="preserve"> </w:t>
      </w:r>
      <w:r w:rsidR="00412B09" w:rsidRPr="006C6F11">
        <w:rPr>
          <w:rFonts w:ascii="Arial" w:hAnsi="Arial" w:cs="Arial"/>
          <w:color w:val="010000"/>
          <w:sz w:val="20"/>
        </w:rPr>
        <w:t>for</w:t>
      </w:r>
      <w:r w:rsidRPr="006C6F11">
        <w:rPr>
          <w:rFonts w:ascii="Arial" w:hAnsi="Arial" w:cs="Arial"/>
          <w:color w:val="010000"/>
          <w:sz w:val="20"/>
        </w:rPr>
        <w:t xml:space="preserve"> the Company's Board of Directors to decide and implement before the nearest </w:t>
      </w:r>
      <w:r w:rsidR="00B2677F">
        <w:rPr>
          <w:rFonts w:ascii="Arial" w:hAnsi="Arial" w:cs="Arial"/>
          <w:color w:val="010000"/>
          <w:sz w:val="20"/>
        </w:rPr>
        <w:t>General Meeting</w:t>
      </w:r>
      <w:r w:rsidR="00412B09" w:rsidRPr="006C6F11">
        <w:rPr>
          <w:rFonts w:ascii="Arial" w:hAnsi="Arial" w:cs="Arial"/>
          <w:color w:val="010000"/>
          <w:sz w:val="20"/>
        </w:rPr>
        <w:t xml:space="preserve"> </w:t>
      </w:r>
      <w:r w:rsidRPr="006C6F11">
        <w:rPr>
          <w:rFonts w:ascii="Arial" w:hAnsi="Arial" w:cs="Arial"/>
          <w:color w:val="010000"/>
          <w:sz w:val="20"/>
        </w:rPr>
        <w:t xml:space="preserve">(including </w:t>
      </w:r>
      <w:r w:rsidR="00412B09" w:rsidRPr="006C6F11">
        <w:rPr>
          <w:rFonts w:ascii="Arial" w:hAnsi="Arial" w:cs="Arial"/>
          <w:color w:val="010000"/>
          <w:sz w:val="20"/>
        </w:rPr>
        <w:t>E</w:t>
      </w:r>
      <w:r w:rsidRPr="006C6F11">
        <w:rPr>
          <w:rFonts w:ascii="Arial" w:hAnsi="Arial" w:cs="Arial"/>
          <w:color w:val="010000"/>
          <w:sz w:val="20"/>
        </w:rPr>
        <w:t xml:space="preserve">xtraordinary General Meetings of </w:t>
      </w:r>
      <w:r w:rsidRPr="006C6F11">
        <w:rPr>
          <w:rFonts w:ascii="Arial" w:hAnsi="Arial" w:cs="Arial"/>
          <w:color w:val="010000"/>
          <w:sz w:val="20"/>
        </w:rPr>
        <w:lastRenderedPageBreak/>
        <w:t xml:space="preserve">Shareholders if deemed necessary at the request of shareholders as stipulated in the Company's Charter and </w:t>
      </w:r>
      <w:r w:rsidR="00B2677F">
        <w:rPr>
          <w:rFonts w:ascii="Arial" w:hAnsi="Arial" w:cs="Arial"/>
          <w:color w:val="010000"/>
          <w:sz w:val="20"/>
        </w:rPr>
        <w:t>applicable laws</w:t>
      </w:r>
      <w:bookmarkStart w:id="0" w:name="_GoBack"/>
      <w:bookmarkEnd w:id="0"/>
      <w:r w:rsidRPr="006C6F11">
        <w:rPr>
          <w:rFonts w:ascii="Arial" w:hAnsi="Arial" w:cs="Arial"/>
          <w:color w:val="010000"/>
          <w:sz w:val="20"/>
        </w:rPr>
        <w:t>).</w:t>
      </w:r>
    </w:p>
    <w:p w14:paraId="27C67CD7" w14:textId="30DA0858" w:rsidR="007776EB" w:rsidRPr="006C6F11" w:rsidRDefault="009B160C" w:rsidP="006C6F11">
      <w:pPr>
        <w:pStyle w:val="ListParagraph"/>
        <w:numPr>
          <w:ilvl w:val="0"/>
          <w:numId w:val="12"/>
        </w:numPr>
        <w:tabs>
          <w:tab w:val="left" w:pos="432"/>
          <w:tab w:val="left" w:pos="720"/>
          <w:tab w:val="left" w:pos="1270"/>
        </w:tabs>
        <w:spacing w:after="120" w:line="360" w:lineRule="auto"/>
        <w:ind w:left="0" w:firstLine="0"/>
        <w:contextualSpacing w:val="0"/>
        <w:jc w:val="both"/>
        <w:rPr>
          <w:rFonts w:ascii="Arial" w:eastAsia="Arial" w:hAnsi="Arial" w:cs="Arial"/>
          <w:color w:val="010000"/>
          <w:sz w:val="20"/>
          <w:szCs w:val="20"/>
        </w:rPr>
      </w:pPr>
      <w:r w:rsidRPr="006C6F11">
        <w:rPr>
          <w:rFonts w:ascii="Arial" w:hAnsi="Arial" w:cs="Arial"/>
          <w:color w:val="010000"/>
          <w:sz w:val="20"/>
        </w:rPr>
        <w:t xml:space="preserve">Above is the full text of the </w:t>
      </w:r>
      <w:r w:rsidR="00583AC0" w:rsidRPr="006C6F11">
        <w:rPr>
          <w:rFonts w:ascii="Arial" w:hAnsi="Arial" w:cs="Arial"/>
          <w:color w:val="010000"/>
          <w:sz w:val="20"/>
        </w:rPr>
        <w:t xml:space="preserve">Annual General Mandate </w:t>
      </w:r>
      <w:r w:rsidRPr="006C6F11">
        <w:rPr>
          <w:rFonts w:ascii="Arial" w:hAnsi="Arial" w:cs="Arial"/>
          <w:color w:val="010000"/>
          <w:sz w:val="20"/>
        </w:rPr>
        <w:t>2024 of Housing Development Investment Joint Stock Company HUD2</w:t>
      </w:r>
      <w:r w:rsidR="00412B09" w:rsidRPr="006C6F11">
        <w:rPr>
          <w:rFonts w:ascii="Arial" w:hAnsi="Arial" w:cs="Arial"/>
          <w:color w:val="010000"/>
          <w:sz w:val="20"/>
        </w:rPr>
        <w:t>.</w:t>
      </w:r>
      <w:r w:rsidRPr="006C6F11">
        <w:rPr>
          <w:rFonts w:ascii="Arial" w:hAnsi="Arial" w:cs="Arial"/>
          <w:color w:val="010000"/>
          <w:sz w:val="20"/>
        </w:rPr>
        <w:t xml:space="preserve"> </w:t>
      </w:r>
      <w:r w:rsidR="00412B09" w:rsidRPr="006C6F11">
        <w:rPr>
          <w:rFonts w:ascii="Arial" w:hAnsi="Arial" w:cs="Arial"/>
          <w:color w:val="010000"/>
          <w:sz w:val="20"/>
        </w:rPr>
        <w:t>A</w:t>
      </w:r>
      <w:r w:rsidRPr="006C6F11">
        <w:rPr>
          <w:rFonts w:ascii="Arial" w:hAnsi="Arial" w:cs="Arial"/>
          <w:color w:val="010000"/>
          <w:sz w:val="20"/>
        </w:rPr>
        <w:t xml:space="preserve">ll shareholders of the Company, members of the Board of Directors, members of the Supervisory Board, </w:t>
      </w:r>
      <w:r w:rsidR="00583AC0" w:rsidRPr="006C6F11">
        <w:rPr>
          <w:rFonts w:ascii="Arial" w:hAnsi="Arial" w:cs="Arial"/>
          <w:color w:val="010000"/>
          <w:sz w:val="20"/>
        </w:rPr>
        <w:t>a</w:t>
      </w:r>
      <w:r w:rsidRPr="006C6F11">
        <w:rPr>
          <w:rFonts w:ascii="Arial" w:hAnsi="Arial" w:cs="Arial"/>
          <w:color w:val="010000"/>
          <w:sz w:val="20"/>
        </w:rPr>
        <w:t>ll officers and employees of the Company are responsible for implementing this</w:t>
      </w:r>
      <w:r w:rsidR="00583AC0" w:rsidRPr="006C6F11">
        <w:rPr>
          <w:rFonts w:ascii="Arial" w:hAnsi="Arial" w:cs="Arial"/>
          <w:color w:val="010000"/>
          <w:sz w:val="20"/>
        </w:rPr>
        <w:t xml:space="preserve"> General Mandate</w:t>
      </w:r>
      <w:r w:rsidRPr="006C6F11">
        <w:rPr>
          <w:rFonts w:ascii="Arial" w:hAnsi="Arial" w:cs="Arial"/>
          <w:color w:val="010000"/>
          <w:sz w:val="20"/>
        </w:rPr>
        <w:t>.</w:t>
      </w:r>
    </w:p>
    <w:sectPr w:rsidR="007776EB" w:rsidRPr="006C6F11" w:rsidSect="006C6F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82C"/>
    <w:multiLevelType w:val="hybridMultilevel"/>
    <w:tmpl w:val="AD924446"/>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A503FE2"/>
    <w:multiLevelType w:val="hybridMultilevel"/>
    <w:tmpl w:val="FC16A13A"/>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064719E"/>
    <w:multiLevelType w:val="hybridMultilevel"/>
    <w:tmpl w:val="294E1C72"/>
    <w:lvl w:ilvl="0" w:tplc="163A1F20">
      <w:start w:val="1"/>
      <w:numFmt w:val="bullet"/>
      <w:lvlRestart w:val="0"/>
      <w:lvlText w:val="+"/>
      <w:lvlJc w:val="left"/>
      <w:pPr>
        <w:ind w:left="0" w:firstLine="0"/>
      </w:pPr>
      <w:rPr>
        <w:rFonts w:ascii="Arial" w:hAnsi="Arial" w:cs="Arial" w:hint="default"/>
        <w:b w:val="0"/>
        <w:i w:val="0"/>
        <w:sz w:val="20"/>
      </w:rPr>
    </w:lvl>
    <w:lvl w:ilvl="1" w:tplc="474C9970" w:tentative="1">
      <w:start w:val="1"/>
      <w:numFmt w:val="bullet"/>
      <w:lvlText w:val="o"/>
      <w:lvlJc w:val="left"/>
      <w:pPr>
        <w:ind w:left="1440" w:hanging="360"/>
      </w:pPr>
      <w:rPr>
        <w:rFonts w:ascii="Courier New" w:hAnsi="Courier New" w:cs="Courier New" w:hint="default"/>
        <w:b w:val="0"/>
        <w:i w:val="0"/>
        <w:sz w:val="20"/>
      </w:rPr>
    </w:lvl>
    <w:lvl w:ilvl="2" w:tplc="AFEA138C"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14610F"/>
    <w:multiLevelType w:val="hybridMultilevel"/>
    <w:tmpl w:val="53AEA738"/>
    <w:lvl w:ilvl="0" w:tplc="CCBA7142">
      <w:start w:val="1"/>
      <w:numFmt w:val="bullet"/>
      <w:lvlText w:val="-"/>
      <w:lvlJc w:val="left"/>
      <w:pPr>
        <w:ind w:left="720" w:hanging="360"/>
      </w:pPr>
      <w:rPr>
        <w:rFonts w:ascii="Arial" w:hAnsi="Arial" w:hint="default"/>
        <w:b w:val="0"/>
        <w:i w:val="0"/>
        <w:sz w:val="20"/>
      </w:rPr>
    </w:lvl>
    <w:lvl w:ilvl="1" w:tplc="229618AE" w:tentative="1">
      <w:start w:val="1"/>
      <w:numFmt w:val="bullet"/>
      <w:lvlText w:val="o"/>
      <w:lvlJc w:val="left"/>
      <w:pPr>
        <w:ind w:left="1440" w:hanging="360"/>
      </w:pPr>
      <w:rPr>
        <w:rFonts w:ascii="Courier New" w:hAnsi="Courier New" w:cs="Courier New" w:hint="default"/>
        <w:b w:val="0"/>
        <w:i w:val="0"/>
        <w:sz w:val="20"/>
      </w:rPr>
    </w:lvl>
    <w:lvl w:ilvl="2" w:tplc="21924044"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B036E77"/>
    <w:multiLevelType w:val="hybridMultilevel"/>
    <w:tmpl w:val="1E30A2E0"/>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FC329AE"/>
    <w:multiLevelType w:val="hybridMultilevel"/>
    <w:tmpl w:val="65C8FE9E"/>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4A1F58FA"/>
    <w:multiLevelType w:val="hybridMultilevel"/>
    <w:tmpl w:val="34C4AA5C"/>
    <w:lvl w:ilvl="0" w:tplc="62DCE6B0">
      <w:start w:val="1"/>
      <w:numFmt w:val="bullet"/>
      <w:lvlText w:val="-"/>
      <w:lvlJc w:val="left"/>
      <w:pPr>
        <w:ind w:left="720" w:hanging="360"/>
      </w:pPr>
      <w:rPr>
        <w:rFonts w:ascii="Arial" w:hAnsi="Arial" w:hint="default"/>
        <w:b w:val="0"/>
        <w:i w:val="0"/>
        <w:sz w:val="20"/>
      </w:rPr>
    </w:lvl>
    <w:lvl w:ilvl="1" w:tplc="2BA0EFA8" w:tentative="1">
      <w:start w:val="1"/>
      <w:numFmt w:val="bullet"/>
      <w:lvlText w:val="o"/>
      <w:lvlJc w:val="left"/>
      <w:pPr>
        <w:ind w:left="1440" w:hanging="360"/>
      </w:pPr>
      <w:rPr>
        <w:rFonts w:ascii="Courier New" w:hAnsi="Courier New" w:cs="Courier New" w:hint="default"/>
        <w:b w:val="0"/>
        <w:i w:val="0"/>
        <w:sz w:val="20"/>
      </w:rPr>
    </w:lvl>
    <w:lvl w:ilvl="2" w:tplc="1AD0E35C"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AD0621C"/>
    <w:multiLevelType w:val="hybridMultilevel"/>
    <w:tmpl w:val="11AEAA1C"/>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51725370"/>
    <w:multiLevelType w:val="hybridMultilevel"/>
    <w:tmpl w:val="5A12CA02"/>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54B03E74"/>
    <w:multiLevelType w:val="hybridMultilevel"/>
    <w:tmpl w:val="72E8AB64"/>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EE5490C"/>
    <w:multiLevelType w:val="hybridMultilevel"/>
    <w:tmpl w:val="29F88456"/>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6D4A727F"/>
    <w:multiLevelType w:val="hybridMultilevel"/>
    <w:tmpl w:val="600AC8C6"/>
    <w:lvl w:ilvl="0" w:tplc="87368B80">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11"/>
  </w:num>
  <w:num w:numId="7">
    <w:abstractNumId w:val="0"/>
  </w:num>
  <w:num w:numId="8">
    <w:abstractNumId w:val="10"/>
  </w:num>
  <w:num w:numId="9">
    <w:abstractNumId w:val="5"/>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EB"/>
    <w:rsid w:val="00412B09"/>
    <w:rsid w:val="00583AC0"/>
    <w:rsid w:val="006C6F11"/>
    <w:rsid w:val="006F2824"/>
    <w:rsid w:val="00760B45"/>
    <w:rsid w:val="007776EB"/>
    <w:rsid w:val="009B160C"/>
    <w:rsid w:val="00B2677F"/>
    <w:rsid w:val="00B367B1"/>
    <w:rsid w:val="00BA495D"/>
    <w:rsid w:val="00C72D75"/>
    <w:rsid w:val="00DA3979"/>
    <w:rsid w:val="00F40B38"/>
    <w:rsid w:val="00FE4A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C6ADE"/>
  <w15:docId w15:val="{B4F39927-AEA6-4E62-83C0-E45FB36A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3262A"/>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0274E"/>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23262A"/>
      <w:sz w:val="20"/>
      <w:szCs w:val="20"/>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jc w:val="right"/>
    </w:pPr>
    <w:rPr>
      <w:rFonts w:ascii="Arial" w:eastAsia="Arial" w:hAnsi="Arial" w:cs="Arial"/>
      <w:b/>
      <w:bCs/>
      <w:color w:val="C0274E"/>
      <w:sz w:val="17"/>
      <w:szCs w:val="17"/>
    </w:rPr>
  </w:style>
  <w:style w:type="paragraph" w:customStyle="1" w:styleId="Bodytext30">
    <w:name w:val="Body text (3)"/>
    <w:basedOn w:val="Normal"/>
    <w:link w:val="Bodytext3"/>
    <w:pPr>
      <w:spacing w:after="30"/>
    </w:pPr>
    <w:rPr>
      <w:rFonts w:ascii="Times New Roman" w:eastAsia="Times New Roman" w:hAnsi="Times New Roman" w:cs="Times New Roman"/>
      <w:color w:val="FF0000"/>
      <w:sz w:val="14"/>
      <w:szCs w:val="14"/>
    </w:rPr>
  </w:style>
  <w:style w:type="paragraph" w:customStyle="1" w:styleId="Heading11">
    <w:name w:val="Heading #1"/>
    <w:basedOn w:val="Normal"/>
    <w:link w:val="Heading10"/>
    <w:pPr>
      <w:ind w:left="4980"/>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after="60"/>
      <w:ind w:left="1080" w:firstLine="2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after="60"/>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after="60"/>
    </w:pPr>
    <w:rPr>
      <w:rFonts w:ascii="Times New Roman" w:eastAsia="Times New Roman" w:hAnsi="Times New Roman" w:cs="Times New Roman"/>
      <w:color w:val="FF0000"/>
      <w:sz w:val="10"/>
      <w:szCs w:val="10"/>
    </w:rPr>
  </w:style>
  <w:style w:type="paragraph" w:customStyle="1" w:styleId="Bodytext60">
    <w:name w:val="Body text (6)"/>
    <w:basedOn w:val="Normal"/>
    <w:link w:val="Bodytext6"/>
    <w:pPr>
      <w:ind w:left="620"/>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F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VsxLxaeBDSzqu5jMCLCR24Nrig==">CgMxLjAaJAoBMBIfCh0IB0IZCgVBcmlhbBIQQXJpYWwgVW5pY29kZSBNUzgAciExUkd4bXBDWnVnSXB2Z3pFbnlrTXIyMU91TjhjVkItMWw=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2024-05-21T03:39:00Z</dcterms:created>
  <dcterms:modified xsi:type="dcterms:W3CDTF">2024-05-21T03:39:00Z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67a7b7421dbf4749ba7ac6157a4329ab60eba4166d7abbf6d8af36afb70d4e2b</vt:lpwstr>
  </property>
</Properties>
</file>