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6A6E" w14:textId="77777777" w:rsidR="002D237D" w:rsidRPr="0067571E" w:rsidRDefault="00F34482" w:rsidP="001D3FD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67571E">
        <w:rPr>
          <w:rFonts w:ascii="Arial" w:hAnsi="Arial" w:cs="Arial"/>
          <w:b/>
          <w:color w:val="010000"/>
          <w:sz w:val="20"/>
        </w:rPr>
        <w:t>MBS: Board Resolution</w:t>
      </w:r>
    </w:p>
    <w:p w14:paraId="10936A6F" w14:textId="112F870B" w:rsidR="002D237D" w:rsidRPr="0067571E" w:rsidRDefault="00F34482" w:rsidP="001D3F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 xml:space="preserve">On May 15, 2024, MB Securities Joint Stock Company announced Resolution No. 39/NQ-MBS-HDQT on the second </w:t>
      </w:r>
      <w:r w:rsidR="0067571E" w:rsidRPr="0067571E">
        <w:rPr>
          <w:rFonts w:ascii="Arial" w:hAnsi="Arial" w:cs="Arial"/>
          <w:color w:val="010000"/>
          <w:sz w:val="20"/>
        </w:rPr>
        <w:t>private placement of bonds</w:t>
      </w:r>
      <w:r w:rsidRPr="0067571E">
        <w:rPr>
          <w:rFonts w:ascii="Arial" w:hAnsi="Arial" w:cs="Arial"/>
          <w:color w:val="010000"/>
          <w:sz w:val="20"/>
        </w:rPr>
        <w:t xml:space="preserve"> in 2024 as follows:</w:t>
      </w:r>
    </w:p>
    <w:p w14:paraId="10936A70" w14:textId="61952473" w:rsidR="002D237D" w:rsidRPr="0067571E" w:rsidRDefault="00F34482" w:rsidP="001D3F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 xml:space="preserve">‎‎Article 1. The Board of Directors approves the Plan on the second </w:t>
      </w:r>
      <w:r w:rsidR="0067571E" w:rsidRPr="0067571E">
        <w:rPr>
          <w:rFonts w:ascii="Arial" w:hAnsi="Arial" w:cs="Arial"/>
          <w:color w:val="010000"/>
          <w:sz w:val="20"/>
        </w:rPr>
        <w:t>private placement of bonds</w:t>
      </w:r>
      <w:r w:rsidRPr="0067571E">
        <w:rPr>
          <w:rFonts w:ascii="Arial" w:hAnsi="Arial" w:cs="Arial"/>
          <w:color w:val="010000"/>
          <w:sz w:val="20"/>
        </w:rPr>
        <w:t xml:space="preserve"> in 2024 of MB Securities Joint Stock Company (hereinafter referred to as Issuance Plan) as follows:</w:t>
      </w:r>
    </w:p>
    <w:p w14:paraId="10936A71" w14:textId="77777777" w:rsidR="002D237D" w:rsidRPr="0067571E" w:rsidRDefault="00F34482" w:rsidP="001D3FDC">
      <w:pPr>
        <w:numPr>
          <w:ilvl w:val="0"/>
          <w:numId w:val="1"/>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Bond name: Bond of MB Securities Joint Stock Company</w:t>
      </w:r>
    </w:p>
    <w:p w14:paraId="10936A72" w14:textId="77777777" w:rsidR="002D237D" w:rsidRPr="0067571E" w:rsidRDefault="00F34482" w:rsidP="001D3FDC">
      <w:pPr>
        <w:numPr>
          <w:ilvl w:val="0"/>
          <w:numId w:val="1"/>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Bond code: MBSH2427002.</w:t>
      </w:r>
    </w:p>
    <w:p w14:paraId="10936A73" w14:textId="77777777" w:rsidR="002D237D" w:rsidRPr="0067571E" w:rsidRDefault="00F34482" w:rsidP="001D3FDC">
      <w:pPr>
        <w:numPr>
          <w:ilvl w:val="0"/>
          <w:numId w:val="1"/>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Bond type: Bonds without warrants, non-convertible, and no collateral.</w:t>
      </w:r>
    </w:p>
    <w:p w14:paraId="10936A74" w14:textId="77777777" w:rsidR="002D237D" w:rsidRPr="0067571E" w:rsidRDefault="00F34482" w:rsidP="001D3FDC">
      <w:pPr>
        <w:numPr>
          <w:ilvl w:val="0"/>
          <w:numId w:val="1"/>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Bond par value: VND 100,000,000.</w:t>
      </w:r>
    </w:p>
    <w:p w14:paraId="10936A75" w14:textId="77777777" w:rsidR="002D237D" w:rsidRPr="0067571E" w:rsidRDefault="00F34482" w:rsidP="001D3FDC">
      <w:pPr>
        <w:numPr>
          <w:ilvl w:val="0"/>
          <w:numId w:val="1"/>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Expected number of issued bonds: 3,000 bonds at maximum</w:t>
      </w:r>
    </w:p>
    <w:p w14:paraId="10936A76" w14:textId="77777777" w:rsidR="002D237D" w:rsidRPr="0067571E" w:rsidRDefault="00F34482" w:rsidP="001D3FDC">
      <w:pPr>
        <w:numPr>
          <w:ilvl w:val="0"/>
          <w:numId w:val="1"/>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Total value of issued bonds at par value: VND 300,000,000,000 at maximum</w:t>
      </w:r>
    </w:p>
    <w:p w14:paraId="10936A77" w14:textId="77777777" w:rsidR="002D237D" w:rsidRPr="0067571E" w:rsidRDefault="00F34482" w:rsidP="001D3FDC">
      <w:pPr>
        <w:numPr>
          <w:ilvl w:val="0"/>
          <w:numId w:val="1"/>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Number of issuances: 01 issuance.</w:t>
      </w:r>
      <w:bookmarkStart w:id="1" w:name="_GoBack"/>
      <w:bookmarkEnd w:id="1"/>
    </w:p>
    <w:p w14:paraId="10936A78" w14:textId="77777777" w:rsidR="002D237D" w:rsidRPr="0067571E" w:rsidRDefault="00F34482" w:rsidP="001D3FDC">
      <w:pPr>
        <w:numPr>
          <w:ilvl w:val="0"/>
          <w:numId w:val="1"/>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Issuance purpose: Debt restructuring</w:t>
      </w:r>
    </w:p>
    <w:p w14:paraId="10936A79" w14:textId="77777777" w:rsidR="002D237D" w:rsidRPr="0067571E" w:rsidRDefault="00F34482" w:rsidP="001D3FDC">
      <w:pPr>
        <w:numPr>
          <w:ilvl w:val="0"/>
          <w:numId w:val="1"/>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Form of bonds: Bonds are issued in the form of book entries or electronic data.</w:t>
      </w:r>
    </w:p>
    <w:p w14:paraId="10936A7A" w14:textId="77777777" w:rsidR="002D237D" w:rsidRPr="0067571E" w:rsidRDefault="00F34482" w:rsidP="001D3FDC">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67571E">
        <w:rPr>
          <w:rFonts w:ascii="Arial" w:hAnsi="Arial" w:cs="Arial"/>
          <w:color w:val="010000"/>
          <w:sz w:val="20"/>
        </w:rPr>
        <w:t>Term: 36 months from the date of issuance.</w:t>
      </w:r>
    </w:p>
    <w:p w14:paraId="10936A7B" w14:textId="77777777" w:rsidR="002D237D" w:rsidRPr="0067571E" w:rsidRDefault="00F34482" w:rsidP="001D3FDC">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7571E">
        <w:rPr>
          <w:rFonts w:ascii="Arial" w:hAnsi="Arial" w:cs="Arial"/>
          <w:color w:val="010000"/>
          <w:sz w:val="20"/>
        </w:rPr>
        <w:t>Interest rate: Floating interest rate.</w:t>
      </w:r>
    </w:p>
    <w:p w14:paraId="10936A7C" w14:textId="5BB13588" w:rsidR="002D237D" w:rsidRPr="0067571E" w:rsidRDefault="00F34482" w:rsidP="001D3FDC">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7571E">
        <w:rPr>
          <w:rFonts w:ascii="Arial" w:hAnsi="Arial" w:cs="Arial"/>
          <w:color w:val="010000"/>
          <w:sz w:val="20"/>
        </w:rPr>
        <w:t xml:space="preserve">Issue time: </w:t>
      </w:r>
      <w:r w:rsidR="0067571E" w:rsidRPr="0067571E">
        <w:rPr>
          <w:rFonts w:ascii="Arial" w:hAnsi="Arial" w:cs="Arial"/>
          <w:color w:val="010000"/>
          <w:sz w:val="20"/>
        </w:rPr>
        <w:t>I</w:t>
      </w:r>
      <w:r w:rsidRPr="0067571E">
        <w:rPr>
          <w:rFonts w:ascii="Arial" w:hAnsi="Arial" w:cs="Arial"/>
          <w:color w:val="010000"/>
          <w:sz w:val="20"/>
        </w:rPr>
        <w:t>n May and June 2024</w:t>
      </w:r>
    </w:p>
    <w:p w14:paraId="10936A7D" w14:textId="77777777" w:rsidR="002D237D" w:rsidRPr="0067571E" w:rsidRDefault="00F34482" w:rsidP="001D3F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Article 2: The Board of Directors authorizes the General Manager to preside over the implementation and decide on issues related to the bond issuance, including but not limited to:</w:t>
      </w:r>
    </w:p>
    <w:p w14:paraId="10936A7E" w14:textId="3CFB330B" w:rsidR="002D237D" w:rsidRPr="0067571E" w:rsidRDefault="00F34482" w:rsidP="001D3FDC">
      <w:pPr>
        <w:numPr>
          <w:ilvl w:val="0"/>
          <w:numId w:val="2"/>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Deciding to supplement, adjust, and regulate</w:t>
      </w:r>
      <w:r w:rsidR="0067571E" w:rsidRPr="0067571E">
        <w:rPr>
          <w:rFonts w:ascii="Arial" w:hAnsi="Arial" w:cs="Arial"/>
          <w:color w:val="010000"/>
          <w:sz w:val="20"/>
        </w:rPr>
        <w:t xml:space="preserve"> in detail</w:t>
      </w:r>
      <w:r w:rsidRPr="0067571E">
        <w:rPr>
          <w:rFonts w:ascii="Arial" w:hAnsi="Arial" w:cs="Arial"/>
          <w:color w:val="010000"/>
          <w:sz w:val="20"/>
        </w:rPr>
        <w:t xml:space="preserve"> the contents of the issuance plan, conditions, and terms related to the bonds (if necessary); deciding on the issuance date and end date of the bond issuance according to this Issuance Plan.</w:t>
      </w:r>
    </w:p>
    <w:p w14:paraId="10936A7F" w14:textId="77777777" w:rsidR="002D237D" w:rsidRPr="0067571E" w:rsidRDefault="00F34482" w:rsidP="001D3FDC">
      <w:pPr>
        <w:numPr>
          <w:ilvl w:val="0"/>
          <w:numId w:val="2"/>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Deciding on the contents, signing contracts, agreements, and other documents related to the offering, issuance, and completion of bonds.</w:t>
      </w:r>
      <w:r w:rsidR="007F19A6" w:rsidRPr="0067571E">
        <w:rPr>
          <w:rFonts w:ascii="Arial" w:hAnsi="Arial" w:cs="Arial"/>
          <w:color w:val="010000"/>
          <w:sz w:val="20"/>
        </w:rPr>
        <w:t xml:space="preserve"> </w:t>
      </w:r>
      <w:r w:rsidRPr="0067571E">
        <w:rPr>
          <w:rFonts w:ascii="Arial" w:hAnsi="Arial" w:cs="Arial"/>
          <w:color w:val="010000"/>
          <w:sz w:val="20"/>
        </w:rPr>
        <w:t>The General Manager can authorize another person to ensure compliance with the Charter and governance regulations of the Company.</w:t>
      </w:r>
    </w:p>
    <w:p w14:paraId="10936A80" w14:textId="77777777" w:rsidR="002D237D" w:rsidRPr="0067571E" w:rsidRDefault="00F34482" w:rsidP="001D3FDC">
      <w:pPr>
        <w:numPr>
          <w:ilvl w:val="0"/>
          <w:numId w:val="2"/>
        </w:numPr>
        <w:pBdr>
          <w:top w:val="nil"/>
          <w:left w:val="nil"/>
          <w:bottom w:val="nil"/>
          <w:right w:val="nil"/>
          <w:between w:val="nil"/>
        </w:pBdr>
        <w:tabs>
          <w:tab w:val="left" w:pos="405"/>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Deciding on (i) incurred bond issuance expenses; (ii) selecting a third organization to provide services related to bond issuance, including but not limited to organizing consulting on bond offering</w:t>
      </w:r>
      <w:r w:rsidR="007F19A6" w:rsidRPr="0067571E">
        <w:rPr>
          <w:rFonts w:ascii="Arial" w:hAnsi="Arial" w:cs="Arial"/>
          <w:color w:val="010000"/>
          <w:sz w:val="20"/>
        </w:rPr>
        <w:t xml:space="preserve"> </w:t>
      </w:r>
      <w:r w:rsidRPr="0067571E">
        <w:rPr>
          <w:rFonts w:ascii="Arial" w:hAnsi="Arial" w:cs="Arial"/>
          <w:color w:val="010000"/>
          <w:sz w:val="20"/>
        </w:rPr>
        <w:t>dossiers; organizing issuing agents, organizing representing bond owners, and organizing auditing on the purpose of using capital from Bonds.</w:t>
      </w:r>
    </w:p>
    <w:p w14:paraId="10936A81" w14:textId="77777777" w:rsidR="002D237D" w:rsidRPr="0067571E" w:rsidRDefault="00F34482" w:rsidP="001D3FDC">
      <w:pPr>
        <w:numPr>
          <w:ilvl w:val="0"/>
          <w:numId w:val="2"/>
        </w:numPr>
        <w:pBdr>
          <w:top w:val="nil"/>
          <w:left w:val="nil"/>
          <w:bottom w:val="nil"/>
          <w:right w:val="nil"/>
          <w:between w:val="nil"/>
        </w:pBdr>
        <w:tabs>
          <w:tab w:val="left" w:pos="405"/>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 xml:space="preserve">Deciding on the list of professional securities investors to buy bonds. </w:t>
      </w:r>
    </w:p>
    <w:p w14:paraId="10936A82" w14:textId="77777777" w:rsidR="002D237D" w:rsidRPr="0067571E" w:rsidRDefault="00F34482" w:rsidP="001D3FDC">
      <w:pPr>
        <w:numPr>
          <w:ilvl w:val="0"/>
          <w:numId w:val="2"/>
        </w:numPr>
        <w:pBdr>
          <w:top w:val="nil"/>
          <w:left w:val="nil"/>
          <w:bottom w:val="nil"/>
          <w:right w:val="nil"/>
          <w:between w:val="nil"/>
        </w:pBdr>
        <w:tabs>
          <w:tab w:val="left" w:pos="405"/>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Deciding on the debt paid with the proceeds from the Bond Issuance.</w:t>
      </w:r>
    </w:p>
    <w:p w14:paraId="10936A83" w14:textId="77777777" w:rsidR="002D237D" w:rsidRPr="0067571E" w:rsidRDefault="00F34482" w:rsidP="001D3FDC">
      <w:pPr>
        <w:numPr>
          <w:ilvl w:val="0"/>
          <w:numId w:val="2"/>
        </w:numPr>
        <w:pBdr>
          <w:top w:val="nil"/>
          <w:left w:val="nil"/>
          <w:bottom w:val="nil"/>
          <w:right w:val="nil"/>
          <w:between w:val="nil"/>
        </w:pBdr>
        <w:tabs>
          <w:tab w:val="left" w:pos="405"/>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 xml:space="preserve">Implementing procedures to register bonds at the Vietnam Securities Depository and Clearing Corporation and register to trade issued bonds on the corporate bond trading system for private </w:t>
      </w:r>
      <w:r w:rsidRPr="0067571E">
        <w:rPr>
          <w:rFonts w:ascii="Arial" w:hAnsi="Arial" w:cs="Arial"/>
          <w:color w:val="010000"/>
          <w:sz w:val="20"/>
        </w:rPr>
        <w:lastRenderedPageBreak/>
        <w:t xml:space="preserve">placement at the Hanoi Stock Exchange in accordance with the provisions of law, including but not limited to signing dossiers, documents to implement procedures mentioned above. </w:t>
      </w:r>
    </w:p>
    <w:p w14:paraId="10936A84" w14:textId="77777777" w:rsidR="002D237D" w:rsidRPr="0067571E" w:rsidRDefault="00F34482" w:rsidP="001D3FDC">
      <w:pPr>
        <w:numPr>
          <w:ilvl w:val="0"/>
          <w:numId w:val="2"/>
        </w:numPr>
        <w:pBdr>
          <w:top w:val="nil"/>
          <w:left w:val="nil"/>
          <w:bottom w:val="nil"/>
          <w:right w:val="nil"/>
          <w:between w:val="nil"/>
        </w:pBdr>
        <w:tabs>
          <w:tab w:val="left" w:pos="405"/>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Deciding on the time to repurchase the Bonds before maturity according to the Issuance Plan, deciding on contents and sign relevant documents to repurchase the bonds, including but not limited to: The record date for the list of bondholders who have the rights to register to resell bonds, time to register to resell bonds and other tasks related to the repurchase of bonds before maturity. Actively balancing and allocating sources to repurchase bonds before maturity as well as sources for payment of principal and interest on the due bonds according to the Issuance Plan.</w:t>
      </w:r>
    </w:p>
    <w:p w14:paraId="10936A85" w14:textId="77777777" w:rsidR="002D237D" w:rsidRPr="0067571E" w:rsidRDefault="00F34482" w:rsidP="001D3FDC">
      <w:pPr>
        <w:numPr>
          <w:ilvl w:val="0"/>
          <w:numId w:val="2"/>
        </w:numPr>
        <w:pBdr>
          <w:top w:val="nil"/>
          <w:left w:val="nil"/>
          <w:bottom w:val="nil"/>
          <w:right w:val="nil"/>
          <w:between w:val="nil"/>
        </w:pBdr>
        <w:tabs>
          <w:tab w:val="left" w:pos="405"/>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Deciding on other relevant issues to implement Issuance Plan in accordance with the provisions of law and the Company’s Charter. If necessary, it is possible to report and obtain approval from the Board of Directors on incurred issues related to the bond issuance.</w:t>
      </w:r>
    </w:p>
    <w:p w14:paraId="10936A86" w14:textId="77777777" w:rsidR="002D237D" w:rsidRPr="0067571E" w:rsidRDefault="00F34482" w:rsidP="001D3F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‎‎Article 3. This Resolution takes effect from the date of its signing.</w:t>
      </w:r>
    </w:p>
    <w:p w14:paraId="10936A87" w14:textId="77777777" w:rsidR="002D237D" w:rsidRPr="0067571E" w:rsidRDefault="00F34482" w:rsidP="001D3F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71E">
        <w:rPr>
          <w:rFonts w:ascii="Arial" w:hAnsi="Arial" w:cs="Arial"/>
          <w:color w:val="010000"/>
          <w:sz w:val="20"/>
        </w:rPr>
        <w:t>Members of the Board of Directors, the Supervisory Board, the Executive Board, relevant units, and individuals of MB Securities Joint Stock Company are responsible for implementing this Resolution in accordance with the provisions of law and the regulations of MB Securities Joint Stock Company.</w:t>
      </w:r>
    </w:p>
    <w:sectPr w:rsidR="002D237D" w:rsidRPr="0067571E" w:rsidSect="007F19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767B"/>
    <w:multiLevelType w:val="multilevel"/>
    <w:tmpl w:val="4154B56E"/>
    <w:lvl w:ilvl="0">
      <w:start w:val="1"/>
      <w:numFmt w:val="decimal"/>
      <w:lvlText w:val="%1."/>
      <w:lvlJc w:val="left"/>
      <w:pPr>
        <w:ind w:left="0" w:firstLine="0"/>
      </w:pPr>
      <w:rPr>
        <w:rFonts w:ascii="Arial" w:eastAsia="Arial" w:hAnsi="Arial" w:cs="Arial"/>
        <w:b w:val="0"/>
        <w:i w:val="0"/>
        <w:smallCaps w:val="0"/>
        <w:strike w:val="0"/>
        <w:color w:val="16161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C7119B1"/>
    <w:multiLevelType w:val="multilevel"/>
    <w:tmpl w:val="A246F0B2"/>
    <w:lvl w:ilvl="0">
      <w:start w:val="1"/>
      <w:numFmt w:val="decimal"/>
      <w:lvlText w:val="%1."/>
      <w:lvlJc w:val="left"/>
      <w:pPr>
        <w:ind w:left="0" w:firstLine="0"/>
      </w:pPr>
      <w:rPr>
        <w:rFonts w:ascii="Arial" w:eastAsia="Arial" w:hAnsi="Arial" w:cs="Arial"/>
        <w:b w:val="0"/>
        <w:i w:val="0"/>
        <w:smallCaps w:val="0"/>
        <w:strike w:val="0"/>
        <w:color w:val="16161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7D"/>
    <w:rsid w:val="001D3FDC"/>
    <w:rsid w:val="002D237D"/>
    <w:rsid w:val="0067571E"/>
    <w:rsid w:val="007F19A6"/>
    <w:rsid w:val="00D2692C"/>
    <w:rsid w:val="00F3448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3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sz w:val="48"/>
      <w:szCs w:val="4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61617"/>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13A47"/>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161617"/>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61617"/>
      <w:sz w:val="30"/>
      <w:szCs w:val="30"/>
      <w:u w:val="none"/>
      <w:shd w:val="clear" w:color="auto" w:fill="auto"/>
    </w:rPr>
  </w:style>
  <w:style w:type="paragraph" w:customStyle="1" w:styleId="Bodytext50">
    <w:name w:val="Body text (5)"/>
    <w:basedOn w:val="Normal"/>
    <w:link w:val="Bodytext5"/>
    <w:rPr>
      <w:rFonts w:ascii="Arial" w:eastAsia="Arial" w:hAnsi="Arial" w:cs="Arial"/>
      <w:b/>
      <w:bCs/>
      <w:sz w:val="48"/>
      <w:szCs w:val="48"/>
    </w:rPr>
  </w:style>
  <w:style w:type="paragraph" w:styleId="BodyText">
    <w:name w:val="Body Text"/>
    <w:basedOn w:val="Normal"/>
    <w:link w:val="BodyTextChar"/>
    <w:qFormat/>
    <w:pPr>
      <w:spacing w:line="346" w:lineRule="auto"/>
    </w:pPr>
    <w:rPr>
      <w:rFonts w:ascii="Times New Roman" w:eastAsia="Times New Roman" w:hAnsi="Times New Roman" w:cs="Times New Roman"/>
      <w:color w:val="161617"/>
      <w:sz w:val="22"/>
      <w:szCs w:val="22"/>
    </w:rPr>
  </w:style>
  <w:style w:type="paragraph" w:customStyle="1" w:styleId="Bodytext40">
    <w:name w:val="Body text (4)"/>
    <w:basedOn w:val="Normal"/>
    <w:link w:val="Bodytext4"/>
    <w:pPr>
      <w:spacing w:line="300" w:lineRule="auto"/>
    </w:pPr>
    <w:rPr>
      <w:rFonts w:ascii="Arial" w:eastAsia="Arial" w:hAnsi="Arial" w:cs="Arial"/>
      <w:color w:val="F13A47"/>
      <w:sz w:val="26"/>
      <w:szCs w:val="26"/>
    </w:rPr>
  </w:style>
  <w:style w:type="paragraph" w:customStyle="1" w:styleId="Bodytext30">
    <w:name w:val="Body text (3)"/>
    <w:basedOn w:val="Normal"/>
    <w:link w:val="Bodytext3"/>
    <w:pPr>
      <w:ind w:left="1670" w:firstLine="180"/>
    </w:pPr>
    <w:rPr>
      <w:rFonts w:ascii="Arial" w:eastAsia="Arial" w:hAnsi="Arial" w:cs="Arial"/>
      <w:b/>
      <w:bCs/>
      <w:color w:val="161617"/>
      <w:sz w:val="18"/>
      <w:szCs w:val="18"/>
    </w:rPr>
  </w:style>
  <w:style w:type="paragraph" w:customStyle="1" w:styleId="Bodytext20">
    <w:name w:val="Body text (2)"/>
    <w:basedOn w:val="Normal"/>
    <w:link w:val="Bodytext2"/>
    <w:pPr>
      <w:ind w:left="1120" w:firstLine="20"/>
    </w:pPr>
    <w:rPr>
      <w:rFonts w:ascii="Arial" w:eastAsia="Arial" w:hAnsi="Arial" w:cs="Arial"/>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61617"/>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sz w:val="48"/>
      <w:szCs w:val="4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61617"/>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13A47"/>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161617"/>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61617"/>
      <w:sz w:val="30"/>
      <w:szCs w:val="30"/>
      <w:u w:val="none"/>
      <w:shd w:val="clear" w:color="auto" w:fill="auto"/>
    </w:rPr>
  </w:style>
  <w:style w:type="paragraph" w:customStyle="1" w:styleId="Bodytext50">
    <w:name w:val="Body text (5)"/>
    <w:basedOn w:val="Normal"/>
    <w:link w:val="Bodytext5"/>
    <w:rPr>
      <w:rFonts w:ascii="Arial" w:eastAsia="Arial" w:hAnsi="Arial" w:cs="Arial"/>
      <w:b/>
      <w:bCs/>
      <w:sz w:val="48"/>
      <w:szCs w:val="48"/>
    </w:rPr>
  </w:style>
  <w:style w:type="paragraph" w:styleId="BodyText">
    <w:name w:val="Body Text"/>
    <w:basedOn w:val="Normal"/>
    <w:link w:val="BodyTextChar"/>
    <w:qFormat/>
    <w:pPr>
      <w:spacing w:line="346" w:lineRule="auto"/>
    </w:pPr>
    <w:rPr>
      <w:rFonts w:ascii="Times New Roman" w:eastAsia="Times New Roman" w:hAnsi="Times New Roman" w:cs="Times New Roman"/>
      <w:color w:val="161617"/>
      <w:sz w:val="22"/>
      <w:szCs w:val="22"/>
    </w:rPr>
  </w:style>
  <w:style w:type="paragraph" w:customStyle="1" w:styleId="Bodytext40">
    <w:name w:val="Body text (4)"/>
    <w:basedOn w:val="Normal"/>
    <w:link w:val="Bodytext4"/>
    <w:pPr>
      <w:spacing w:line="300" w:lineRule="auto"/>
    </w:pPr>
    <w:rPr>
      <w:rFonts w:ascii="Arial" w:eastAsia="Arial" w:hAnsi="Arial" w:cs="Arial"/>
      <w:color w:val="F13A47"/>
      <w:sz w:val="26"/>
      <w:szCs w:val="26"/>
    </w:rPr>
  </w:style>
  <w:style w:type="paragraph" w:customStyle="1" w:styleId="Bodytext30">
    <w:name w:val="Body text (3)"/>
    <w:basedOn w:val="Normal"/>
    <w:link w:val="Bodytext3"/>
    <w:pPr>
      <w:ind w:left="1670" w:firstLine="180"/>
    </w:pPr>
    <w:rPr>
      <w:rFonts w:ascii="Arial" w:eastAsia="Arial" w:hAnsi="Arial" w:cs="Arial"/>
      <w:b/>
      <w:bCs/>
      <w:color w:val="161617"/>
      <w:sz w:val="18"/>
      <w:szCs w:val="18"/>
    </w:rPr>
  </w:style>
  <w:style w:type="paragraph" w:customStyle="1" w:styleId="Bodytext20">
    <w:name w:val="Body text (2)"/>
    <w:basedOn w:val="Normal"/>
    <w:link w:val="Bodytext2"/>
    <w:pPr>
      <w:ind w:left="1120" w:firstLine="20"/>
    </w:pPr>
    <w:rPr>
      <w:rFonts w:ascii="Arial" w:eastAsia="Arial" w:hAnsi="Arial" w:cs="Arial"/>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61617"/>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Qb5wipBk7LWYeQdxyGhMVb7yHA==">CgMxLjAyCGguZ2pkZ3hzOAByITFYX2xWMmllVGZzbVNDblR0eFozN0pRcjlzaFl4RHQ3Tg==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2024-05-20T03:20:00Z</dcterms:created>
  <dcterms:modified xsi:type="dcterms:W3CDTF">2024-05-21T08:11:00Z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b0059e8a29747e79810fac04bb49e3a4ed146c72999e216417af9f287fa78ae2</vt:lpwstr>
  </property>
</Properties>
</file>