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BB3C4" w14:textId="77777777" w:rsidR="002E400E" w:rsidRPr="007B4DA3" w:rsidRDefault="0036413B" w:rsidP="005550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7B4DA3">
        <w:rPr>
          <w:rFonts w:ascii="Arial" w:hAnsi="Arial" w:cs="Arial"/>
          <w:b/>
          <w:color w:val="010000"/>
          <w:sz w:val="20"/>
        </w:rPr>
        <w:t>MGC: Board Resolution </w:t>
      </w:r>
    </w:p>
    <w:p w14:paraId="593BB3C5" w14:textId="77777777" w:rsidR="002E400E" w:rsidRPr="007B4DA3" w:rsidRDefault="0036413B" w:rsidP="005550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On May 17, 2024, Vinacomin - Mining Geology Joint Stock Company announced Resolution No. 11/2024/NQ-HDQT, as follows:</w:t>
      </w:r>
    </w:p>
    <w:p w14:paraId="593BB3C6" w14:textId="77777777" w:rsidR="002E400E" w:rsidRPr="007B4DA3" w:rsidRDefault="0036413B" w:rsidP="005550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‎‎Article 1. The Board of Directors of Vinacomin - Mining Geology Joint Stock Company approved the plan on cash dividend payment to shareholders in 2023, specifically as follows:</w:t>
      </w:r>
    </w:p>
    <w:p w14:paraId="593BB3C7" w14:textId="77777777" w:rsidR="002E400E" w:rsidRPr="007B4DA3" w:rsidRDefault="0036413B" w:rsidP="005550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Regarding Proposal No. 557/TTr-DCM dated May 14, 2024 of the Manager on cash dividend payment in 2023, members of the Board of Directors considered and gave their opinions via a ballot to approve the Resolution, as follows:</w:t>
      </w:r>
      <w:r w:rsidR="0055503B" w:rsidRPr="007B4DA3">
        <w:rPr>
          <w:rFonts w:ascii="Arial" w:hAnsi="Arial" w:cs="Arial"/>
          <w:color w:val="010000"/>
          <w:sz w:val="20"/>
        </w:rPr>
        <w:t>:</w:t>
      </w:r>
    </w:p>
    <w:p w14:paraId="593BB3C8" w14:textId="77777777" w:rsidR="002E400E" w:rsidRPr="007B4DA3" w:rsidRDefault="0036413B" w:rsidP="005550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Approved contents:</w:t>
      </w:r>
    </w:p>
    <w:p w14:paraId="593BB3C9" w14:textId="77777777" w:rsidR="002E400E" w:rsidRPr="007B4DA3" w:rsidRDefault="0036413B" w:rsidP="0055503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The plan on cash dividend payment in 2023, as follows:</w:t>
      </w:r>
    </w:p>
    <w:p w14:paraId="593BB3CA" w14:textId="77777777" w:rsidR="002E400E" w:rsidRPr="007B4DA3" w:rsidRDefault="0036413B" w:rsidP="00555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Record date: June 10, 2024</w:t>
      </w:r>
    </w:p>
    <w:p w14:paraId="593BB3CB" w14:textId="77777777" w:rsidR="002E400E" w:rsidRPr="007B4DA3" w:rsidRDefault="0036413B" w:rsidP="00555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Dividend payment date: June 28, 2024</w:t>
      </w:r>
    </w:p>
    <w:p w14:paraId="593BB3CC" w14:textId="271D8012" w:rsidR="002E400E" w:rsidRPr="007B4DA3" w:rsidRDefault="0036413B" w:rsidP="00555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Dividend rate: 2.0%/</w:t>
      </w:r>
      <w:r w:rsidR="004472BE">
        <w:rPr>
          <w:rFonts w:ascii="Arial" w:hAnsi="Arial" w:cs="Arial"/>
          <w:color w:val="010000"/>
          <w:sz w:val="20"/>
        </w:rPr>
        <w:t>share (shareholders receive VND</w:t>
      </w:r>
      <w:bookmarkStart w:id="0" w:name="_GoBack"/>
      <w:bookmarkEnd w:id="0"/>
      <w:r w:rsidRPr="007B4DA3">
        <w:rPr>
          <w:rFonts w:ascii="Arial" w:hAnsi="Arial" w:cs="Arial"/>
          <w:color w:val="010000"/>
          <w:sz w:val="20"/>
        </w:rPr>
        <w:t>200 for every share they own).</w:t>
      </w:r>
    </w:p>
    <w:p w14:paraId="593BB3CD" w14:textId="77777777" w:rsidR="002E400E" w:rsidRPr="007B4DA3" w:rsidRDefault="0036413B" w:rsidP="00555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Implementation venue:</w:t>
      </w:r>
    </w:p>
    <w:p w14:paraId="593BB3CE" w14:textId="77777777" w:rsidR="002E400E" w:rsidRPr="007B4DA3" w:rsidRDefault="0036413B" w:rsidP="00555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For deposited securities: Shareholders perform procedures to receive dividends at Depository Members where their accounts were opened.</w:t>
      </w:r>
    </w:p>
    <w:p w14:paraId="593BB3CF" w14:textId="77777777" w:rsidR="002E400E" w:rsidRPr="007B4DA3" w:rsidRDefault="0036413B" w:rsidP="00555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49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For undeposited securities: Shareholders perform procedures to receive dividends at the Finance and Accounting Department of Vinacomin - Mining Geology Joint Stock Company (address: No. 304, Tran Phu Street, Cam Thanh Ward, Cam Pha City, Quang Ninh Province) on</w:t>
      </w:r>
      <w:r w:rsidR="0055503B" w:rsidRPr="007B4DA3">
        <w:rPr>
          <w:rFonts w:ascii="Arial" w:hAnsi="Arial" w:cs="Arial"/>
          <w:color w:val="010000"/>
          <w:sz w:val="20"/>
        </w:rPr>
        <w:t xml:space="preserve"> </w:t>
      </w:r>
      <w:r w:rsidRPr="007B4DA3">
        <w:rPr>
          <w:rFonts w:ascii="Arial" w:hAnsi="Arial" w:cs="Arial"/>
          <w:color w:val="010000"/>
          <w:sz w:val="20"/>
        </w:rPr>
        <w:t>business days, except holidays and New Year, starting from June 28, 2024 and present their ID cards.</w:t>
      </w:r>
    </w:p>
    <w:p w14:paraId="593BB3D0" w14:textId="77777777" w:rsidR="002E400E" w:rsidRPr="007B4DA3" w:rsidRDefault="0036413B" w:rsidP="005550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7B4DA3">
        <w:rPr>
          <w:rFonts w:ascii="Arial" w:hAnsi="Arial" w:cs="Arial"/>
          <w:color w:val="010000"/>
          <w:sz w:val="20"/>
        </w:rPr>
        <w:t>Assign the Manager to organize the payment of dividends according to the above plan as</w:t>
      </w:r>
      <w:r w:rsidR="0055503B" w:rsidRPr="007B4DA3">
        <w:rPr>
          <w:rFonts w:ascii="Arial" w:hAnsi="Arial" w:cs="Arial"/>
          <w:color w:val="010000"/>
          <w:sz w:val="20"/>
        </w:rPr>
        <w:t xml:space="preserve"> </w:t>
      </w:r>
      <w:r w:rsidRPr="007B4DA3">
        <w:rPr>
          <w:rFonts w:ascii="Arial" w:hAnsi="Arial" w:cs="Arial"/>
          <w:color w:val="010000"/>
          <w:sz w:val="20"/>
        </w:rPr>
        <w:t>prescribed by the provisions of current law and the Charter of Organization and Operation of Vinacomin - Mining Geology Joint Stock Company.</w:t>
      </w:r>
    </w:p>
    <w:p w14:paraId="593BB3D1" w14:textId="77777777" w:rsidR="002E400E" w:rsidRPr="007B4DA3" w:rsidRDefault="0036413B" w:rsidP="0055503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2E400E" w:rsidRPr="007B4DA3" w:rsidSect="0055503B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B4DA3">
        <w:rPr>
          <w:rFonts w:ascii="Arial" w:hAnsi="Arial" w:cs="Arial"/>
          <w:color w:val="010000"/>
          <w:sz w:val="20"/>
        </w:rPr>
        <w:t>‎‎Article 2. Members of the Board of Directors, the Manager, the Chief Accountant, the Heads of units and departments in the Company shall base on the Resolution to implement.</w:t>
      </w:r>
    </w:p>
    <w:p w14:paraId="593BB3D2" w14:textId="77777777" w:rsidR="002E400E" w:rsidRPr="007B4DA3" w:rsidRDefault="002E400E" w:rsidP="0055503B">
      <w:pPr>
        <w:tabs>
          <w:tab w:val="left" w:pos="6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2E400E" w:rsidRPr="007B4DA3" w:rsidSect="0055503B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012"/>
    <w:multiLevelType w:val="multilevel"/>
    <w:tmpl w:val="A96C44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0855D3"/>
    <w:multiLevelType w:val="multilevel"/>
    <w:tmpl w:val="C18A72F6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D50CF"/>
    <w:multiLevelType w:val="multilevel"/>
    <w:tmpl w:val="3F52B19A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E"/>
    <w:rsid w:val="002E400E"/>
    <w:rsid w:val="0036413B"/>
    <w:rsid w:val="004472BE"/>
    <w:rsid w:val="0055503B"/>
    <w:rsid w:val="007B4DA3"/>
    <w:rsid w:val="00D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BB3C4"/>
  <w15:docId w15:val="{B89C5F53-BF7A-4E83-9119-2A71E64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D0F13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0D0F13"/>
      <w:sz w:val="40"/>
      <w:szCs w:val="4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460"/>
    </w:pPr>
    <w:rPr>
      <w:rFonts w:ascii="Times New Roman" w:eastAsia="Times New Roman" w:hAnsi="Times New Roman" w:cs="Times New Roman"/>
      <w:b/>
      <w:bCs/>
      <w:color w:val="0D0F13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223" w:lineRule="auto"/>
      <w:jc w:val="center"/>
      <w:outlineLvl w:val="0"/>
    </w:pPr>
    <w:rPr>
      <w:rFonts w:ascii="Arial" w:eastAsia="Arial" w:hAnsi="Arial" w:cs="Arial"/>
      <w:color w:val="0D0F13"/>
      <w:sz w:val="40"/>
      <w:szCs w:val="40"/>
    </w:rPr>
  </w:style>
  <w:style w:type="paragraph" w:styleId="NormalWeb">
    <w:name w:val="Normal (Web)"/>
    <w:basedOn w:val="Normal"/>
    <w:uiPriority w:val="99"/>
    <w:unhideWhenUsed/>
    <w:rsid w:val="00F30E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91f+r2xvjUvJB1gasS6giU0LtA==">CgMxLjA4AHIhMW1FRnVnY0g2ckVORkhmTHVTWUVxZmlxQnl2WTZPZDZ6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2024-05-21T03:15:00Z</dcterms:created>
  <dcterms:modified xsi:type="dcterms:W3CDTF">2024-05-21T03:15:00Z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4941e2a20b5ef09f71028e9d5fdf07ab56e84a25cd85ff0fd8ad398d1d8dd52a</vt:lpwstr>
  </property>
</Properties>
</file>