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F6AF2" w14:textId="77777777" w:rsidR="009D0A11" w:rsidRPr="00A36963" w:rsidRDefault="00282AE3" w:rsidP="005E0336">
      <w:pPr>
        <w:widowControl/>
        <w:pBdr>
          <w:top w:val="nil"/>
          <w:left w:val="nil"/>
          <w:bottom w:val="nil"/>
          <w:right w:val="nil"/>
          <w:between w:val="nil"/>
        </w:pBdr>
        <w:tabs>
          <w:tab w:val="left" w:pos="540"/>
          <w:tab w:val="left" w:pos="720"/>
          <w:tab w:val="left" w:pos="810"/>
        </w:tabs>
        <w:spacing w:after="120" w:line="360" w:lineRule="auto"/>
        <w:rPr>
          <w:rFonts w:ascii="Arial" w:eastAsia="Arial" w:hAnsi="Arial" w:cs="Arial"/>
          <w:b/>
          <w:color w:val="010000"/>
          <w:sz w:val="20"/>
          <w:szCs w:val="20"/>
        </w:rPr>
      </w:pPr>
      <w:r w:rsidRPr="00A36963">
        <w:rPr>
          <w:rFonts w:ascii="Arial" w:hAnsi="Arial" w:cs="Arial"/>
          <w:b/>
          <w:color w:val="010000"/>
          <w:sz w:val="20"/>
        </w:rPr>
        <w:t>NTT: Board Resolution </w:t>
      </w:r>
    </w:p>
    <w:p w14:paraId="238F6AF3" w14:textId="6746EF27" w:rsidR="009D0A11" w:rsidRPr="00A36963" w:rsidRDefault="00282AE3" w:rsidP="005E0336">
      <w:pPr>
        <w:widowControl/>
        <w:pBdr>
          <w:top w:val="nil"/>
          <w:left w:val="nil"/>
          <w:bottom w:val="nil"/>
          <w:right w:val="nil"/>
          <w:between w:val="nil"/>
        </w:pBdr>
        <w:tabs>
          <w:tab w:val="left" w:pos="540"/>
          <w:tab w:val="left" w:pos="720"/>
          <w:tab w:val="left" w:pos="810"/>
        </w:tabs>
        <w:spacing w:after="120" w:line="360" w:lineRule="auto"/>
        <w:rPr>
          <w:rFonts w:ascii="Arial" w:eastAsia="Arial" w:hAnsi="Arial" w:cs="Arial"/>
          <w:color w:val="010000"/>
          <w:sz w:val="20"/>
          <w:szCs w:val="20"/>
        </w:rPr>
      </w:pPr>
      <w:r w:rsidRPr="00A36963">
        <w:rPr>
          <w:rFonts w:ascii="Arial" w:hAnsi="Arial" w:cs="Arial"/>
          <w:color w:val="010000"/>
          <w:sz w:val="20"/>
        </w:rPr>
        <w:t>On May 16, 2024, Nha Trang Textile &amp; Garment Joint Stock Company announced Resolution No. 36/NQ-</w:t>
      </w:r>
      <w:r w:rsidR="007B5359" w:rsidRPr="00A36963">
        <w:rPr>
          <w:rFonts w:ascii="Arial" w:hAnsi="Arial" w:cs="Arial"/>
          <w:color w:val="010000"/>
          <w:sz w:val="20"/>
        </w:rPr>
        <w:t>DMNT</w:t>
      </w:r>
      <w:r w:rsidRPr="00A36963">
        <w:rPr>
          <w:rFonts w:ascii="Arial" w:hAnsi="Arial" w:cs="Arial"/>
          <w:color w:val="010000"/>
          <w:sz w:val="20"/>
        </w:rPr>
        <w:t>, as follows:</w:t>
      </w:r>
    </w:p>
    <w:p w14:paraId="238F6AF4" w14:textId="7FA0A11F" w:rsidR="009D0A11" w:rsidRPr="00A36963" w:rsidRDefault="00282AE3" w:rsidP="005E0336">
      <w:pPr>
        <w:pBdr>
          <w:top w:val="nil"/>
          <w:left w:val="nil"/>
          <w:bottom w:val="nil"/>
          <w:right w:val="nil"/>
          <w:between w:val="nil"/>
        </w:pBdr>
        <w:tabs>
          <w:tab w:val="left" w:pos="540"/>
          <w:tab w:val="left" w:pos="720"/>
          <w:tab w:val="left" w:pos="810"/>
        </w:tabs>
        <w:spacing w:after="120" w:line="360" w:lineRule="auto"/>
        <w:rPr>
          <w:rFonts w:ascii="Arial" w:eastAsia="Arial" w:hAnsi="Arial" w:cs="Arial"/>
          <w:color w:val="010000"/>
          <w:sz w:val="20"/>
          <w:szCs w:val="20"/>
        </w:rPr>
      </w:pPr>
      <w:r w:rsidRPr="00A36963">
        <w:rPr>
          <w:rFonts w:ascii="Arial" w:hAnsi="Arial" w:cs="Arial"/>
          <w:color w:val="010000"/>
          <w:sz w:val="20"/>
        </w:rPr>
        <w:t xml:space="preserve">Article 1: Approve the implementation of Purchase and Sales Contract No. 145/NT-PPC dated May 26, 2014 between Phong Phu Corporation </w:t>
      </w:r>
      <w:r w:rsidR="007B5359" w:rsidRPr="00A36963">
        <w:rPr>
          <w:rFonts w:ascii="Arial" w:hAnsi="Arial" w:cs="Arial"/>
          <w:color w:val="010000"/>
          <w:sz w:val="20"/>
        </w:rPr>
        <w:t xml:space="preserve">(PPC) </w:t>
      </w:r>
      <w:r w:rsidRPr="00A36963">
        <w:rPr>
          <w:rFonts w:ascii="Arial" w:hAnsi="Arial" w:cs="Arial"/>
          <w:color w:val="010000"/>
          <w:sz w:val="20"/>
        </w:rPr>
        <w:t>and Nha Trang Textile &amp; Garment Joint Stock Company related to Yarn Factory 3 (40,000 spindles), specifically as follows:</w:t>
      </w:r>
    </w:p>
    <w:p w14:paraId="238F6AF5" w14:textId="77777777" w:rsidR="009D0A11" w:rsidRPr="00A36963" w:rsidRDefault="00282AE3" w:rsidP="005E0336">
      <w:pPr>
        <w:numPr>
          <w:ilvl w:val="0"/>
          <w:numId w:val="2"/>
        </w:numPr>
        <w:pBdr>
          <w:top w:val="nil"/>
          <w:left w:val="nil"/>
          <w:bottom w:val="nil"/>
          <w:right w:val="nil"/>
          <w:between w:val="nil"/>
        </w:pBdr>
        <w:tabs>
          <w:tab w:val="left" w:pos="540"/>
          <w:tab w:val="left" w:pos="720"/>
          <w:tab w:val="left" w:pos="810"/>
          <w:tab w:val="left" w:pos="1936"/>
        </w:tabs>
        <w:spacing w:after="120" w:line="360" w:lineRule="auto"/>
        <w:rPr>
          <w:rFonts w:ascii="Arial" w:eastAsia="Arial" w:hAnsi="Arial" w:cs="Arial"/>
          <w:color w:val="010000"/>
          <w:sz w:val="20"/>
          <w:szCs w:val="20"/>
        </w:rPr>
      </w:pPr>
      <w:r w:rsidRPr="00A36963">
        <w:rPr>
          <w:rFonts w:ascii="Arial" w:hAnsi="Arial" w:cs="Arial"/>
          <w:color w:val="010000"/>
          <w:sz w:val="20"/>
        </w:rPr>
        <w:t>Approve the content of the agreement between the Company and PPC related to the implementation of Purchase and Sales Contract No. 145/NT-PPC dated May 26, 2014, including the following main contents:</w:t>
      </w:r>
    </w:p>
    <w:p w14:paraId="238F6AF6" w14:textId="77777777" w:rsidR="009D0A11" w:rsidRPr="00A36963" w:rsidRDefault="00282AE3" w:rsidP="005E0336">
      <w:pPr>
        <w:keepNext/>
        <w:numPr>
          <w:ilvl w:val="1"/>
          <w:numId w:val="2"/>
        </w:numPr>
        <w:pBdr>
          <w:top w:val="nil"/>
          <w:left w:val="nil"/>
          <w:bottom w:val="nil"/>
          <w:right w:val="nil"/>
          <w:between w:val="nil"/>
        </w:pBdr>
        <w:tabs>
          <w:tab w:val="left" w:pos="540"/>
          <w:tab w:val="left" w:pos="720"/>
          <w:tab w:val="left" w:pos="810"/>
          <w:tab w:val="left" w:pos="1936"/>
        </w:tabs>
        <w:spacing w:after="120" w:line="360" w:lineRule="auto"/>
        <w:rPr>
          <w:rFonts w:ascii="Arial" w:eastAsia="Arial" w:hAnsi="Arial" w:cs="Arial"/>
          <w:color w:val="010000"/>
          <w:sz w:val="20"/>
          <w:szCs w:val="20"/>
        </w:rPr>
      </w:pPr>
      <w:r w:rsidRPr="00A36963">
        <w:rPr>
          <w:rFonts w:ascii="Arial" w:hAnsi="Arial" w:cs="Arial"/>
          <w:color w:val="010000"/>
          <w:sz w:val="20"/>
        </w:rPr>
        <w:t>Payment method of Transfer Contract:</w:t>
      </w:r>
    </w:p>
    <w:p w14:paraId="238F6AF7" w14:textId="4D438B41" w:rsidR="009D0A11" w:rsidRPr="00A36963" w:rsidRDefault="00282AE3" w:rsidP="005E0336">
      <w:pPr>
        <w:numPr>
          <w:ilvl w:val="0"/>
          <w:numId w:val="1"/>
        </w:numPr>
        <w:pBdr>
          <w:top w:val="nil"/>
          <w:left w:val="nil"/>
          <w:bottom w:val="nil"/>
          <w:right w:val="nil"/>
          <w:between w:val="nil"/>
        </w:pBdr>
        <w:tabs>
          <w:tab w:val="left" w:pos="540"/>
          <w:tab w:val="left" w:pos="720"/>
          <w:tab w:val="left" w:pos="810"/>
          <w:tab w:val="left" w:pos="1936"/>
        </w:tabs>
        <w:spacing w:after="120" w:line="360" w:lineRule="auto"/>
        <w:rPr>
          <w:rFonts w:ascii="Arial" w:eastAsia="Arial" w:hAnsi="Arial" w:cs="Arial"/>
          <w:color w:val="010000"/>
          <w:sz w:val="20"/>
          <w:szCs w:val="20"/>
        </w:rPr>
      </w:pPr>
      <w:r w:rsidRPr="00A36963">
        <w:rPr>
          <w:rFonts w:ascii="Arial" w:hAnsi="Arial" w:cs="Arial"/>
          <w:color w:val="010000"/>
          <w:sz w:val="20"/>
        </w:rPr>
        <w:t xml:space="preserve">PPC will pay </w:t>
      </w:r>
      <w:r w:rsidR="00FF43BE">
        <w:rPr>
          <w:rFonts w:ascii="Arial" w:hAnsi="Arial" w:cs="Arial"/>
          <w:color w:val="010000"/>
          <w:sz w:val="20"/>
        </w:rPr>
        <w:t>VND</w:t>
      </w:r>
      <w:r w:rsidRPr="00A36963">
        <w:rPr>
          <w:rFonts w:ascii="Arial" w:hAnsi="Arial" w:cs="Arial"/>
          <w:color w:val="010000"/>
          <w:sz w:val="20"/>
        </w:rPr>
        <w:t>35,292,962,287 to the Company.</w:t>
      </w:r>
    </w:p>
    <w:p w14:paraId="238F6AF8" w14:textId="79401314" w:rsidR="009D0A11" w:rsidRPr="00A36963" w:rsidRDefault="00F356B4" w:rsidP="005E0336">
      <w:pPr>
        <w:numPr>
          <w:ilvl w:val="0"/>
          <w:numId w:val="1"/>
        </w:numPr>
        <w:pBdr>
          <w:top w:val="nil"/>
          <w:left w:val="nil"/>
          <w:bottom w:val="nil"/>
          <w:right w:val="nil"/>
          <w:between w:val="nil"/>
        </w:pBdr>
        <w:tabs>
          <w:tab w:val="left" w:pos="540"/>
          <w:tab w:val="left" w:pos="720"/>
          <w:tab w:val="left" w:pos="810"/>
          <w:tab w:val="left" w:pos="1936"/>
        </w:tabs>
        <w:spacing w:after="120" w:line="360" w:lineRule="auto"/>
        <w:rPr>
          <w:rFonts w:ascii="Arial" w:eastAsia="Arial" w:hAnsi="Arial" w:cs="Arial"/>
          <w:color w:val="010000"/>
          <w:sz w:val="20"/>
          <w:szCs w:val="20"/>
        </w:rPr>
      </w:pPr>
      <w:r w:rsidRPr="00A36963">
        <w:rPr>
          <w:rFonts w:ascii="Arial" w:hAnsi="Arial" w:cs="Arial"/>
          <w:color w:val="010000"/>
          <w:sz w:val="20"/>
        </w:rPr>
        <w:t>The remaining amount is</w:t>
      </w:r>
      <w:r w:rsidR="00FF43BE">
        <w:rPr>
          <w:rFonts w:ascii="Arial" w:hAnsi="Arial" w:cs="Arial"/>
          <w:color w:val="010000"/>
          <w:sz w:val="20"/>
        </w:rPr>
        <w:t xml:space="preserve"> VND</w:t>
      </w:r>
      <w:r w:rsidR="00282AE3" w:rsidRPr="00A36963">
        <w:rPr>
          <w:rFonts w:ascii="Arial" w:hAnsi="Arial" w:cs="Arial"/>
          <w:color w:val="010000"/>
          <w:sz w:val="20"/>
        </w:rPr>
        <w:t>1,360,190,724</w:t>
      </w:r>
      <w:r w:rsidRPr="00A36963">
        <w:rPr>
          <w:rFonts w:ascii="Arial" w:hAnsi="Arial" w:cs="Arial"/>
          <w:color w:val="010000"/>
          <w:sz w:val="20"/>
        </w:rPr>
        <w:t xml:space="preserve">, </w:t>
      </w:r>
      <w:r w:rsidR="00282AE3" w:rsidRPr="00A36963">
        <w:rPr>
          <w:rFonts w:ascii="Arial" w:hAnsi="Arial" w:cs="Arial"/>
          <w:color w:val="010000"/>
          <w:sz w:val="20"/>
        </w:rPr>
        <w:t>equivalent to 2% of the transfer value of buildings and architectural objects of Yarn Factory 3, which totals VND</w:t>
      </w:r>
      <w:bookmarkStart w:id="0" w:name="_GoBack"/>
      <w:bookmarkEnd w:id="0"/>
      <w:r w:rsidR="00282AE3" w:rsidRPr="00A36963">
        <w:rPr>
          <w:rFonts w:ascii="Arial" w:hAnsi="Arial" w:cs="Arial"/>
          <w:color w:val="010000"/>
          <w:sz w:val="20"/>
        </w:rPr>
        <w:t>68,009,536,219 (according to the List of fixed assets attached to the signed Purchase and Sales Contract dated May 26, 2014). Upon the Company’s delivery of the Certificate of Ownership for Yarn Factory 3, PPC will fulfill this payment.</w:t>
      </w:r>
    </w:p>
    <w:p w14:paraId="238F6AF9" w14:textId="77777777" w:rsidR="009D0A11" w:rsidRPr="00A36963" w:rsidRDefault="00282AE3" w:rsidP="005E0336">
      <w:pPr>
        <w:keepNext/>
        <w:numPr>
          <w:ilvl w:val="1"/>
          <w:numId w:val="2"/>
        </w:numPr>
        <w:pBdr>
          <w:top w:val="nil"/>
          <w:left w:val="nil"/>
          <w:bottom w:val="nil"/>
          <w:right w:val="nil"/>
          <w:between w:val="nil"/>
        </w:pBdr>
        <w:tabs>
          <w:tab w:val="left" w:pos="540"/>
          <w:tab w:val="left" w:pos="720"/>
          <w:tab w:val="left" w:pos="810"/>
          <w:tab w:val="left" w:pos="1936"/>
        </w:tabs>
        <w:spacing w:after="120" w:line="360" w:lineRule="auto"/>
        <w:rPr>
          <w:rFonts w:ascii="Arial" w:eastAsia="Arial" w:hAnsi="Arial" w:cs="Arial"/>
          <w:color w:val="010000"/>
          <w:sz w:val="20"/>
          <w:szCs w:val="20"/>
        </w:rPr>
      </w:pPr>
      <w:r w:rsidRPr="00A36963">
        <w:rPr>
          <w:rFonts w:ascii="Arial" w:hAnsi="Arial" w:cs="Arial"/>
          <w:color w:val="010000"/>
          <w:sz w:val="20"/>
        </w:rPr>
        <w:t>Responsibilities of the Company:</w:t>
      </w:r>
    </w:p>
    <w:p w14:paraId="238F6AFA" w14:textId="77777777" w:rsidR="009D0A11" w:rsidRPr="00A36963" w:rsidRDefault="00282AE3" w:rsidP="005E0336">
      <w:pPr>
        <w:numPr>
          <w:ilvl w:val="0"/>
          <w:numId w:val="1"/>
        </w:numPr>
        <w:pBdr>
          <w:top w:val="nil"/>
          <w:left w:val="nil"/>
          <w:bottom w:val="nil"/>
          <w:right w:val="nil"/>
          <w:between w:val="nil"/>
        </w:pBdr>
        <w:tabs>
          <w:tab w:val="left" w:pos="540"/>
          <w:tab w:val="left" w:pos="720"/>
          <w:tab w:val="left" w:pos="810"/>
          <w:tab w:val="left" w:pos="1936"/>
        </w:tabs>
        <w:spacing w:after="120" w:line="360" w:lineRule="auto"/>
        <w:rPr>
          <w:rFonts w:ascii="Arial" w:eastAsia="Arial" w:hAnsi="Arial" w:cs="Arial"/>
          <w:color w:val="010000"/>
          <w:sz w:val="20"/>
          <w:szCs w:val="20"/>
        </w:rPr>
      </w:pPr>
      <w:r w:rsidRPr="00A36963">
        <w:rPr>
          <w:rFonts w:ascii="Arial" w:hAnsi="Arial" w:cs="Arial"/>
          <w:color w:val="010000"/>
          <w:sz w:val="20"/>
        </w:rPr>
        <w:t>Expediting the completion of procedures for transferring Yarn Factory 3 to PPC as soon as possible, expected completion time before December 2025.</w:t>
      </w:r>
    </w:p>
    <w:p w14:paraId="238F6AFB" w14:textId="77777777" w:rsidR="009D0A11" w:rsidRPr="00A36963" w:rsidRDefault="00282AE3" w:rsidP="005E0336">
      <w:pPr>
        <w:numPr>
          <w:ilvl w:val="0"/>
          <w:numId w:val="1"/>
        </w:numPr>
        <w:pBdr>
          <w:top w:val="nil"/>
          <w:left w:val="nil"/>
          <w:bottom w:val="nil"/>
          <w:right w:val="nil"/>
          <w:between w:val="nil"/>
        </w:pBdr>
        <w:tabs>
          <w:tab w:val="left" w:pos="540"/>
          <w:tab w:val="left" w:pos="720"/>
          <w:tab w:val="left" w:pos="810"/>
          <w:tab w:val="left" w:pos="1936"/>
        </w:tabs>
        <w:spacing w:after="120" w:line="360" w:lineRule="auto"/>
        <w:rPr>
          <w:rFonts w:ascii="Arial" w:eastAsia="Arial" w:hAnsi="Arial" w:cs="Arial"/>
          <w:color w:val="010000"/>
          <w:sz w:val="20"/>
          <w:szCs w:val="20"/>
        </w:rPr>
      </w:pPr>
      <w:r w:rsidRPr="00A36963">
        <w:rPr>
          <w:rFonts w:ascii="Arial" w:hAnsi="Arial" w:cs="Arial"/>
          <w:color w:val="010000"/>
          <w:sz w:val="20"/>
        </w:rPr>
        <w:t>The Company, on behalf of PPC, pays land rent on the land belonging to Yarn Factory 3 until the time of completing procedures for transferring ownership of Yarn Factory 3.</w:t>
      </w:r>
    </w:p>
    <w:p w14:paraId="238F6AFC" w14:textId="77777777" w:rsidR="009D0A11" w:rsidRPr="00A36963" w:rsidRDefault="00282AE3" w:rsidP="005E0336">
      <w:pPr>
        <w:numPr>
          <w:ilvl w:val="0"/>
          <w:numId w:val="1"/>
        </w:numPr>
        <w:pBdr>
          <w:top w:val="nil"/>
          <w:left w:val="nil"/>
          <w:bottom w:val="nil"/>
          <w:right w:val="nil"/>
          <w:between w:val="nil"/>
        </w:pBdr>
        <w:tabs>
          <w:tab w:val="left" w:pos="540"/>
          <w:tab w:val="left" w:pos="720"/>
          <w:tab w:val="left" w:pos="810"/>
          <w:tab w:val="left" w:pos="1936"/>
        </w:tabs>
        <w:spacing w:after="120" w:line="360" w:lineRule="auto"/>
        <w:rPr>
          <w:rFonts w:ascii="Arial" w:eastAsia="Arial" w:hAnsi="Arial" w:cs="Arial"/>
          <w:color w:val="010000"/>
          <w:sz w:val="20"/>
          <w:szCs w:val="20"/>
        </w:rPr>
      </w:pPr>
      <w:r w:rsidRPr="00A36963">
        <w:rPr>
          <w:rFonts w:ascii="Arial" w:hAnsi="Arial" w:cs="Arial"/>
          <w:color w:val="010000"/>
          <w:sz w:val="20"/>
        </w:rPr>
        <w:t>The Company creates favorable conditions for PPC to conduct production and business activities at Yarn Factory 3, including the following contents:</w:t>
      </w:r>
    </w:p>
    <w:p w14:paraId="238F6AFD" w14:textId="77777777" w:rsidR="009D0A11" w:rsidRPr="00A36963" w:rsidRDefault="00282AE3" w:rsidP="005E0336">
      <w:pPr>
        <w:numPr>
          <w:ilvl w:val="0"/>
          <w:numId w:val="3"/>
        </w:numPr>
        <w:pBdr>
          <w:top w:val="nil"/>
          <w:left w:val="nil"/>
          <w:bottom w:val="nil"/>
          <w:right w:val="nil"/>
          <w:between w:val="nil"/>
        </w:pBdr>
        <w:tabs>
          <w:tab w:val="left" w:pos="540"/>
          <w:tab w:val="left" w:pos="720"/>
          <w:tab w:val="left" w:pos="810"/>
        </w:tabs>
        <w:spacing w:after="120" w:line="360" w:lineRule="auto"/>
        <w:ind w:left="0" w:firstLine="0"/>
        <w:rPr>
          <w:rFonts w:ascii="Arial" w:eastAsia="Arial" w:hAnsi="Arial" w:cs="Arial"/>
          <w:color w:val="010000"/>
          <w:sz w:val="20"/>
          <w:szCs w:val="20"/>
        </w:rPr>
      </w:pPr>
      <w:r w:rsidRPr="00A36963">
        <w:rPr>
          <w:rFonts w:ascii="Arial" w:hAnsi="Arial" w:cs="Arial"/>
          <w:color w:val="010000"/>
          <w:sz w:val="20"/>
        </w:rPr>
        <w:t xml:space="preserve"> As for shared internal roads: PPC is allowed to use internal roads throughout the Company's ownership area, for shared use with the Company and other parties operating in the area. PPC can use this area for parking and loading and unloading goods without affecting general traffic.</w:t>
      </w:r>
    </w:p>
    <w:p w14:paraId="238F6AFE" w14:textId="443C2208" w:rsidR="009D0A11" w:rsidRPr="00A36963" w:rsidRDefault="00282AE3" w:rsidP="005E0336">
      <w:pPr>
        <w:numPr>
          <w:ilvl w:val="0"/>
          <w:numId w:val="3"/>
        </w:numPr>
        <w:pBdr>
          <w:top w:val="nil"/>
          <w:left w:val="nil"/>
          <w:bottom w:val="nil"/>
          <w:right w:val="nil"/>
          <w:between w:val="nil"/>
        </w:pBdr>
        <w:tabs>
          <w:tab w:val="left" w:pos="540"/>
          <w:tab w:val="left" w:pos="720"/>
          <w:tab w:val="left" w:pos="810"/>
        </w:tabs>
        <w:spacing w:after="120" w:line="360" w:lineRule="auto"/>
        <w:ind w:left="0" w:firstLine="0"/>
        <w:rPr>
          <w:rFonts w:ascii="Arial" w:eastAsia="Arial" w:hAnsi="Arial" w:cs="Arial"/>
          <w:color w:val="010000"/>
          <w:sz w:val="20"/>
          <w:szCs w:val="20"/>
        </w:rPr>
      </w:pPr>
      <w:r w:rsidRPr="00A36963">
        <w:rPr>
          <w:rFonts w:ascii="Arial" w:hAnsi="Arial" w:cs="Arial"/>
          <w:color w:val="010000"/>
          <w:sz w:val="20"/>
        </w:rPr>
        <w:t>As for electricity and water:</w:t>
      </w:r>
      <w:r w:rsidR="00A36963" w:rsidRPr="00A36963">
        <w:rPr>
          <w:rFonts w:ascii="Arial" w:hAnsi="Arial" w:cs="Arial"/>
          <w:color w:val="010000"/>
          <w:sz w:val="20"/>
        </w:rPr>
        <w:t xml:space="preserve"> </w:t>
      </w:r>
      <w:r w:rsidRPr="00A36963">
        <w:rPr>
          <w:rFonts w:ascii="Arial" w:hAnsi="Arial" w:cs="Arial"/>
          <w:color w:val="010000"/>
          <w:sz w:val="20"/>
        </w:rPr>
        <w:t xml:space="preserve">The Company provides sufficient 22KV and 6.6KV power sources, </w:t>
      </w:r>
      <w:r w:rsidR="00A36963" w:rsidRPr="00A36963">
        <w:rPr>
          <w:rFonts w:ascii="Arial" w:hAnsi="Arial" w:cs="Arial"/>
          <w:color w:val="010000"/>
          <w:sz w:val="20"/>
        </w:rPr>
        <w:t xml:space="preserve">and </w:t>
      </w:r>
      <w:r w:rsidRPr="00A36963">
        <w:rPr>
          <w:rFonts w:ascii="Arial" w:hAnsi="Arial" w:cs="Arial"/>
          <w:color w:val="010000"/>
          <w:sz w:val="20"/>
        </w:rPr>
        <w:t>the water system in compliance with legal regulations, ensuring stable business operations of PPC.</w:t>
      </w:r>
    </w:p>
    <w:p w14:paraId="238F6AFF" w14:textId="77777777" w:rsidR="009D0A11" w:rsidRPr="00A36963" w:rsidRDefault="00282AE3" w:rsidP="005E0336">
      <w:pPr>
        <w:numPr>
          <w:ilvl w:val="0"/>
          <w:numId w:val="3"/>
        </w:numPr>
        <w:pBdr>
          <w:top w:val="nil"/>
          <w:left w:val="nil"/>
          <w:bottom w:val="nil"/>
          <w:right w:val="nil"/>
          <w:between w:val="nil"/>
        </w:pBdr>
        <w:tabs>
          <w:tab w:val="left" w:pos="540"/>
          <w:tab w:val="left" w:pos="720"/>
          <w:tab w:val="left" w:pos="810"/>
        </w:tabs>
        <w:spacing w:after="120" w:line="360" w:lineRule="auto"/>
        <w:ind w:left="0" w:firstLine="0"/>
        <w:rPr>
          <w:rFonts w:ascii="Arial" w:eastAsia="Arial" w:hAnsi="Arial" w:cs="Arial"/>
          <w:color w:val="010000"/>
          <w:sz w:val="20"/>
          <w:szCs w:val="20"/>
        </w:rPr>
      </w:pPr>
      <w:r w:rsidRPr="00A36963">
        <w:rPr>
          <w:rFonts w:ascii="Arial" w:hAnsi="Arial" w:cs="Arial"/>
          <w:color w:val="010000"/>
          <w:sz w:val="20"/>
        </w:rPr>
        <w:t>As for fire prevention and environment: In compliance with the provisions of law.</w:t>
      </w:r>
    </w:p>
    <w:p w14:paraId="238F6B00" w14:textId="77777777" w:rsidR="009D0A11" w:rsidRPr="00A36963" w:rsidRDefault="00282AE3" w:rsidP="005E0336">
      <w:pPr>
        <w:keepNext/>
        <w:numPr>
          <w:ilvl w:val="1"/>
          <w:numId w:val="2"/>
        </w:numPr>
        <w:pBdr>
          <w:top w:val="nil"/>
          <w:left w:val="nil"/>
          <w:bottom w:val="nil"/>
          <w:right w:val="nil"/>
          <w:between w:val="nil"/>
        </w:pBdr>
        <w:tabs>
          <w:tab w:val="left" w:pos="540"/>
          <w:tab w:val="left" w:pos="720"/>
          <w:tab w:val="left" w:pos="810"/>
          <w:tab w:val="left" w:pos="2190"/>
        </w:tabs>
        <w:spacing w:after="120" w:line="360" w:lineRule="auto"/>
        <w:rPr>
          <w:rFonts w:ascii="Arial" w:eastAsia="Arial" w:hAnsi="Arial" w:cs="Arial"/>
          <w:color w:val="010000"/>
          <w:sz w:val="20"/>
          <w:szCs w:val="20"/>
        </w:rPr>
      </w:pPr>
      <w:r w:rsidRPr="00A36963">
        <w:rPr>
          <w:rFonts w:ascii="Arial" w:hAnsi="Arial" w:cs="Arial"/>
          <w:color w:val="010000"/>
          <w:sz w:val="20"/>
        </w:rPr>
        <w:t>Responsibilities of PPC:</w:t>
      </w:r>
    </w:p>
    <w:p w14:paraId="238F6B01" w14:textId="77777777" w:rsidR="009D0A11" w:rsidRPr="00A36963" w:rsidRDefault="00282AE3" w:rsidP="005E0336">
      <w:pPr>
        <w:numPr>
          <w:ilvl w:val="0"/>
          <w:numId w:val="1"/>
        </w:numPr>
        <w:pBdr>
          <w:top w:val="nil"/>
          <w:left w:val="nil"/>
          <w:bottom w:val="nil"/>
          <w:right w:val="nil"/>
          <w:between w:val="nil"/>
        </w:pBdr>
        <w:tabs>
          <w:tab w:val="left" w:pos="540"/>
          <w:tab w:val="left" w:pos="720"/>
          <w:tab w:val="left" w:pos="810"/>
        </w:tabs>
        <w:spacing w:after="120" w:line="360" w:lineRule="auto"/>
        <w:rPr>
          <w:rFonts w:ascii="Arial" w:eastAsia="Arial" w:hAnsi="Arial" w:cs="Arial"/>
          <w:color w:val="010000"/>
          <w:sz w:val="20"/>
          <w:szCs w:val="20"/>
        </w:rPr>
      </w:pPr>
      <w:r w:rsidRPr="00A36963">
        <w:rPr>
          <w:rFonts w:ascii="Arial" w:hAnsi="Arial" w:cs="Arial"/>
          <w:color w:val="010000"/>
          <w:sz w:val="20"/>
        </w:rPr>
        <w:t>PPC provides the Company with all relevant dossiers to serve the implementation of asset transfer procedures according to the Company's notice and in accordance with the provisions of law under responsibilities of PPC.</w:t>
      </w:r>
    </w:p>
    <w:p w14:paraId="238F6B02" w14:textId="77777777" w:rsidR="009D0A11" w:rsidRPr="00A36963" w:rsidRDefault="00282AE3" w:rsidP="005E0336">
      <w:pPr>
        <w:numPr>
          <w:ilvl w:val="0"/>
          <w:numId w:val="1"/>
        </w:numPr>
        <w:pBdr>
          <w:top w:val="nil"/>
          <w:left w:val="nil"/>
          <w:bottom w:val="nil"/>
          <w:right w:val="nil"/>
          <w:between w:val="nil"/>
        </w:pBdr>
        <w:tabs>
          <w:tab w:val="left" w:pos="540"/>
          <w:tab w:val="left" w:pos="720"/>
          <w:tab w:val="left" w:pos="810"/>
        </w:tabs>
        <w:spacing w:after="120" w:line="360" w:lineRule="auto"/>
        <w:rPr>
          <w:rFonts w:ascii="Arial" w:eastAsia="Arial" w:hAnsi="Arial" w:cs="Arial"/>
          <w:color w:val="010000"/>
          <w:sz w:val="20"/>
          <w:szCs w:val="20"/>
        </w:rPr>
      </w:pPr>
      <w:r w:rsidRPr="00A36963">
        <w:rPr>
          <w:rFonts w:ascii="Arial" w:hAnsi="Arial" w:cs="Arial"/>
          <w:color w:val="010000"/>
          <w:sz w:val="20"/>
        </w:rPr>
        <w:t>PPC pays full land rent on the area of ​​Yarn Factory 3 according to the land rent unit price issued by the competent authority.</w:t>
      </w:r>
    </w:p>
    <w:p w14:paraId="238F6B03" w14:textId="77777777" w:rsidR="009D0A11" w:rsidRPr="00A36963" w:rsidRDefault="00282AE3" w:rsidP="005E0336">
      <w:pPr>
        <w:numPr>
          <w:ilvl w:val="0"/>
          <w:numId w:val="2"/>
        </w:numPr>
        <w:pBdr>
          <w:top w:val="nil"/>
          <w:left w:val="nil"/>
          <w:bottom w:val="nil"/>
          <w:right w:val="nil"/>
          <w:between w:val="nil"/>
        </w:pBdr>
        <w:tabs>
          <w:tab w:val="left" w:pos="540"/>
          <w:tab w:val="left" w:pos="720"/>
          <w:tab w:val="left" w:pos="810"/>
          <w:tab w:val="left" w:pos="2190"/>
        </w:tabs>
        <w:spacing w:after="120" w:line="360" w:lineRule="auto"/>
        <w:rPr>
          <w:rFonts w:ascii="Arial" w:eastAsia="Arial" w:hAnsi="Arial" w:cs="Arial"/>
          <w:color w:val="010000"/>
          <w:sz w:val="20"/>
          <w:szCs w:val="20"/>
        </w:rPr>
      </w:pPr>
      <w:r w:rsidRPr="00A36963">
        <w:rPr>
          <w:rFonts w:ascii="Arial" w:hAnsi="Arial" w:cs="Arial"/>
          <w:color w:val="010000"/>
          <w:sz w:val="20"/>
        </w:rPr>
        <w:lastRenderedPageBreak/>
        <w:t>This Draft Memorandum of Agreement, after being signed by the parties, will be an inseparable part of Purchase and Sales Contract No. 145/NT-PPC dated May 26, 2014.</w:t>
      </w:r>
    </w:p>
    <w:p w14:paraId="238F6B04" w14:textId="77777777" w:rsidR="009D0A11" w:rsidRPr="00A36963" w:rsidRDefault="00282AE3" w:rsidP="005E0336">
      <w:pPr>
        <w:numPr>
          <w:ilvl w:val="0"/>
          <w:numId w:val="2"/>
        </w:numPr>
        <w:pBdr>
          <w:top w:val="nil"/>
          <w:left w:val="nil"/>
          <w:bottom w:val="nil"/>
          <w:right w:val="nil"/>
          <w:between w:val="nil"/>
        </w:pBdr>
        <w:tabs>
          <w:tab w:val="left" w:pos="540"/>
          <w:tab w:val="left" w:pos="720"/>
          <w:tab w:val="left" w:pos="810"/>
          <w:tab w:val="left" w:pos="2190"/>
        </w:tabs>
        <w:spacing w:after="120" w:line="360" w:lineRule="auto"/>
        <w:rPr>
          <w:rFonts w:ascii="Arial" w:eastAsia="Arial" w:hAnsi="Arial" w:cs="Arial"/>
          <w:color w:val="010000"/>
          <w:sz w:val="20"/>
          <w:szCs w:val="20"/>
        </w:rPr>
      </w:pPr>
      <w:r w:rsidRPr="00A36963">
        <w:rPr>
          <w:rFonts w:ascii="Arial" w:hAnsi="Arial" w:cs="Arial"/>
          <w:color w:val="010000"/>
          <w:sz w:val="20"/>
        </w:rPr>
        <w:t>Assign Mr. Dang Vu Hung, Chair of the Board of Directors-cum-Legal Representative of the Company, to decide on the negotiation, signing of agreements, dossiers and handling of incurred issues related to the implementation of the Contract according to the contents in Sections 1 and 2 above.</w:t>
      </w:r>
    </w:p>
    <w:p w14:paraId="238F6B05" w14:textId="77777777" w:rsidR="009D0A11" w:rsidRPr="00A36963" w:rsidRDefault="00282AE3" w:rsidP="005E0336">
      <w:pPr>
        <w:pBdr>
          <w:top w:val="nil"/>
          <w:left w:val="nil"/>
          <w:bottom w:val="nil"/>
          <w:right w:val="nil"/>
          <w:between w:val="nil"/>
        </w:pBdr>
        <w:tabs>
          <w:tab w:val="left" w:pos="540"/>
          <w:tab w:val="left" w:pos="720"/>
          <w:tab w:val="left" w:pos="810"/>
        </w:tabs>
        <w:spacing w:after="120" w:line="360" w:lineRule="auto"/>
        <w:rPr>
          <w:rFonts w:ascii="Arial" w:eastAsia="Arial" w:hAnsi="Arial" w:cs="Arial"/>
          <w:color w:val="010000"/>
          <w:sz w:val="20"/>
          <w:szCs w:val="20"/>
        </w:rPr>
      </w:pPr>
      <w:r w:rsidRPr="00A36963">
        <w:rPr>
          <w:rFonts w:ascii="Arial" w:hAnsi="Arial" w:cs="Arial"/>
          <w:color w:val="010000"/>
          <w:sz w:val="20"/>
        </w:rPr>
        <w:t>Article 2: Organization of implementation</w:t>
      </w:r>
    </w:p>
    <w:p w14:paraId="238F6B06" w14:textId="77777777" w:rsidR="009D0A11" w:rsidRPr="00A36963" w:rsidRDefault="00282AE3" w:rsidP="005E0336">
      <w:pPr>
        <w:numPr>
          <w:ilvl w:val="0"/>
          <w:numId w:val="1"/>
        </w:numPr>
        <w:pBdr>
          <w:top w:val="nil"/>
          <w:left w:val="nil"/>
          <w:bottom w:val="nil"/>
          <w:right w:val="nil"/>
          <w:between w:val="nil"/>
        </w:pBdr>
        <w:tabs>
          <w:tab w:val="left" w:pos="540"/>
          <w:tab w:val="left" w:pos="720"/>
          <w:tab w:val="left" w:pos="810"/>
          <w:tab w:val="left" w:pos="2190"/>
        </w:tabs>
        <w:spacing w:after="120" w:line="360" w:lineRule="auto"/>
        <w:rPr>
          <w:rFonts w:ascii="Arial" w:eastAsia="Arial" w:hAnsi="Arial" w:cs="Arial"/>
          <w:color w:val="010000"/>
          <w:sz w:val="20"/>
          <w:szCs w:val="20"/>
        </w:rPr>
      </w:pPr>
      <w:r w:rsidRPr="00A36963">
        <w:rPr>
          <w:rFonts w:ascii="Arial" w:hAnsi="Arial" w:cs="Arial"/>
          <w:color w:val="010000"/>
          <w:sz w:val="20"/>
        </w:rPr>
        <w:t>Members of the Board of Directors, the Deputy General Manager, the Chief Accountant, and affiliated persons are responsible for implementing this Resolution.</w:t>
      </w:r>
    </w:p>
    <w:p w14:paraId="238F6B07" w14:textId="77777777" w:rsidR="009D0A11" w:rsidRPr="00A36963" w:rsidRDefault="00282AE3" w:rsidP="005E0336">
      <w:pPr>
        <w:numPr>
          <w:ilvl w:val="0"/>
          <w:numId w:val="1"/>
        </w:numPr>
        <w:pBdr>
          <w:top w:val="nil"/>
          <w:left w:val="nil"/>
          <w:bottom w:val="nil"/>
          <w:right w:val="nil"/>
          <w:between w:val="nil"/>
        </w:pBdr>
        <w:tabs>
          <w:tab w:val="left" w:pos="540"/>
          <w:tab w:val="left" w:pos="720"/>
          <w:tab w:val="left" w:pos="810"/>
          <w:tab w:val="left" w:pos="9826"/>
        </w:tabs>
        <w:spacing w:after="120" w:line="360" w:lineRule="auto"/>
        <w:rPr>
          <w:rFonts w:ascii="Arial" w:eastAsia="Arial" w:hAnsi="Arial" w:cs="Arial"/>
          <w:color w:val="010000"/>
          <w:sz w:val="20"/>
          <w:szCs w:val="20"/>
        </w:rPr>
      </w:pPr>
      <w:r w:rsidRPr="00A36963">
        <w:rPr>
          <w:rFonts w:ascii="Arial" w:hAnsi="Arial" w:cs="Arial"/>
          <w:color w:val="010000"/>
          <w:sz w:val="20"/>
        </w:rPr>
        <w:t>This Resolution was approved in full text by the Board of Directors at the meeting. This Resolution takes effect from the date of its signing.</w:t>
      </w:r>
    </w:p>
    <w:sectPr w:rsidR="009D0A11" w:rsidRPr="00A36963" w:rsidSect="005E033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66C6"/>
    <w:multiLevelType w:val="multilevel"/>
    <w:tmpl w:val="9BC0A71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A965088"/>
    <w:multiLevelType w:val="multilevel"/>
    <w:tmpl w:val="3D9033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AEA5833"/>
    <w:multiLevelType w:val="multilevel"/>
    <w:tmpl w:val="07B857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11"/>
    <w:rsid w:val="00282AE3"/>
    <w:rsid w:val="005E0336"/>
    <w:rsid w:val="007B5359"/>
    <w:rsid w:val="009D0A11"/>
    <w:rsid w:val="00A36963"/>
    <w:rsid w:val="00A90044"/>
    <w:rsid w:val="00D2692C"/>
    <w:rsid w:val="00F356B4"/>
    <w:rsid w:val="00FF43B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F6AF2"/>
  <w15:docId w15:val="{B89C5F53-BF7A-4E83-9119-2A71E64E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81422"/>
      <w:w w:val="80"/>
      <w:sz w:val="20"/>
      <w:szCs w:val="20"/>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286" w:lineRule="auto"/>
      <w:ind w:left="1220"/>
      <w:outlineLvl w:val="1"/>
    </w:pPr>
    <w:rPr>
      <w:rFonts w:ascii="Times New Roman" w:eastAsia="Times New Roman" w:hAnsi="Times New Roman" w:cs="Times New Roman"/>
      <w:b/>
      <w:bCs/>
    </w:rPr>
  </w:style>
  <w:style w:type="paragraph" w:customStyle="1" w:styleId="Bodytext30">
    <w:name w:val="Body text (3)"/>
    <w:basedOn w:val="Normal"/>
    <w:link w:val="Bodytext3"/>
    <w:pPr>
      <w:ind w:left="1620"/>
    </w:pPr>
    <w:rPr>
      <w:rFonts w:ascii="Times New Roman" w:eastAsia="Times New Roman" w:hAnsi="Times New Roman" w:cs="Times New Roman"/>
      <w:sz w:val="18"/>
      <w:szCs w:val="18"/>
    </w:rPr>
  </w:style>
  <w:style w:type="paragraph" w:customStyle="1" w:styleId="Bodytext20">
    <w:name w:val="Body text (2)"/>
    <w:basedOn w:val="Normal"/>
    <w:link w:val="Bodytext2"/>
    <w:pPr>
      <w:spacing w:line="226" w:lineRule="auto"/>
    </w:pPr>
    <w:rPr>
      <w:rFonts w:ascii="Arial" w:eastAsia="Arial" w:hAnsi="Arial" w:cs="Arial"/>
      <w:sz w:val="9"/>
      <w:szCs w:val="9"/>
    </w:rPr>
  </w:style>
  <w:style w:type="paragraph" w:customStyle="1" w:styleId="Heading11">
    <w:name w:val="Heading #1"/>
    <w:basedOn w:val="Normal"/>
    <w:link w:val="Heading10"/>
    <w:pPr>
      <w:spacing w:line="230" w:lineRule="auto"/>
      <w:outlineLvl w:val="0"/>
    </w:pPr>
    <w:rPr>
      <w:rFonts w:ascii="Times New Roman" w:eastAsia="Times New Roman" w:hAnsi="Times New Roman" w:cs="Times New Roman"/>
      <w:b/>
      <w:bCs/>
      <w:sz w:val="30"/>
      <w:szCs w:val="30"/>
    </w:rPr>
  </w:style>
  <w:style w:type="paragraph" w:customStyle="1" w:styleId="Bodytext40">
    <w:name w:val="Body text (4)"/>
    <w:basedOn w:val="Normal"/>
    <w:link w:val="Bodytext4"/>
    <w:pPr>
      <w:spacing w:line="317" w:lineRule="auto"/>
      <w:jc w:val="center"/>
    </w:pPr>
    <w:rPr>
      <w:rFonts w:ascii="Arial" w:eastAsia="Arial" w:hAnsi="Arial" w:cs="Arial"/>
      <w:b/>
      <w:bCs/>
      <w:color w:val="D81422"/>
      <w:w w:val="80"/>
      <w:sz w:val="20"/>
      <w:szCs w:val="20"/>
    </w:rPr>
  </w:style>
  <w:style w:type="paragraph" w:styleId="NormalWeb">
    <w:name w:val="Normal (Web)"/>
    <w:basedOn w:val="Normal"/>
    <w:uiPriority w:val="99"/>
    <w:unhideWhenUsed/>
    <w:rsid w:val="0012455D"/>
    <w:pPr>
      <w:widowControl/>
      <w:spacing w:before="100" w:beforeAutospacing="1" w:after="100" w:afterAutospacing="1"/>
    </w:pPr>
    <w:rPr>
      <w:rFonts w:ascii="Times New Roman" w:eastAsia="Times New Roman"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C/h2yTGUtJRxNxHSOBZNDDKDGw==">CgMxLjA4AHIhMTF1cTU3N1pFNjFyRWdwUnd2NmxNUlRTdHdfbTltX3Jm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2024-05-21T03:15:00Z</dcterms:created>
  <dcterms:modified xsi:type="dcterms:W3CDTF">2024-05-21T03:15:00Z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734c18a21993ad853780393b351ea9fab8d70d45341fc7cf6cf5a0e402aaeebc</vt:lpwstr>
  </property>
</Properties>
</file>