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06079" w:rsidRPr="00FF2A8C" w:rsidRDefault="00FF726B" w:rsidP="00EC6A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F2A8C">
        <w:rPr>
          <w:rFonts w:ascii="Arial" w:hAnsi="Arial" w:cs="Arial"/>
          <w:b/>
          <w:color w:val="010000"/>
          <w:sz w:val="20"/>
        </w:rPr>
        <w:t>OCH: Official Dispatch explaining measures and roadmap to overcome the securities situation</w:t>
      </w:r>
    </w:p>
    <w:p w14:paraId="00000002" w14:textId="77777777" w:rsidR="00F06079" w:rsidRPr="00FF2A8C" w:rsidRDefault="00FF726B" w:rsidP="00EC6A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A8C">
        <w:rPr>
          <w:rFonts w:ascii="Arial" w:hAnsi="Arial" w:cs="Arial"/>
          <w:color w:val="010000"/>
          <w:sz w:val="20"/>
        </w:rPr>
        <w:t>On May 16, 2024, One Capital Joint Stock Company announced Official Dispatch No. 10/2024/CV-OCH on explaining measures and roadmap to overcome the securities situation (according to Decision 342/QD-SGDHN) as follows:</w:t>
      </w:r>
    </w:p>
    <w:p w14:paraId="00000003" w14:textId="5A579B2F" w:rsidR="00F06079" w:rsidRPr="00FF2A8C" w:rsidRDefault="00FF726B" w:rsidP="00EC6A0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A8C">
        <w:rPr>
          <w:rFonts w:ascii="Arial" w:hAnsi="Arial" w:cs="Arial"/>
          <w:color w:val="010000"/>
          <w:sz w:val="20"/>
        </w:rPr>
        <w:t xml:space="preserve">Business </w:t>
      </w:r>
      <w:r w:rsidR="00B33D26" w:rsidRPr="00FF2A8C">
        <w:rPr>
          <w:rFonts w:ascii="Arial" w:hAnsi="Arial" w:cs="Arial"/>
          <w:color w:val="010000"/>
          <w:sz w:val="20"/>
        </w:rPr>
        <w:t>activities</w:t>
      </w:r>
      <w:r w:rsidRPr="00FF2A8C">
        <w:rPr>
          <w:rFonts w:ascii="Arial" w:hAnsi="Arial" w:cs="Arial"/>
          <w:color w:val="010000"/>
          <w:sz w:val="20"/>
        </w:rPr>
        <w:t xml:space="preserve"> in Q1/2024:</w:t>
      </w:r>
    </w:p>
    <w:p w14:paraId="00000004" w14:textId="05F4D7CC" w:rsidR="00F06079" w:rsidRPr="00FF2A8C" w:rsidRDefault="00FF726B" w:rsidP="00EC6A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A8C">
        <w:rPr>
          <w:rFonts w:ascii="Arial" w:hAnsi="Arial" w:cs="Arial"/>
          <w:color w:val="010000"/>
          <w:sz w:val="20"/>
        </w:rPr>
        <w:t xml:space="preserve">Profit after tax on Consolidated Business Result of </w:t>
      </w:r>
      <w:r w:rsidR="00B33D26" w:rsidRPr="00FF2A8C">
        <w:rPr>
          <w:rFonts w:ascii="Arial" w:hAnsi="Arial" w:cs="Arial"/>
          <w:color w:val="010000"/>
          <w:sz w:val="20"/>
        </w:rPr>
        <w:t>Q1/</w:t>
      </w:r>
      <w:r w:rsidRPr="00FF2A8C">
        <w:rPr>
          <w:rFonts w:ascii="Arial" w:hAnsi="Arial" w:cs="Arial"/>
          <w:color w:val="010000"/>
          <w:sz w:val="20"/>
        </w:rPr>
        <w:t xml:space="preserve">2024 </w:t>
      </w:r>
      <w:r w:rsidR="00FF2A8C" w:rsidRPr="00FF2A8C">
        <w:rPr>
          <w:rFonts w:ascii="Arial" w:hAnsi="Arial" w:cs="Arial"/>
          <w:color w:val="010000"/>
          <w:sz w:val="20"/>
        </w:rPr>
        <w:t xml:space="preserve">shows a loss of </w:t>
      </w:r>
      <w:r w:rsidRPr="00FF2A8C">
        <w:rPr>
          <w:rFonts w:ascii="Arial" w:hAnsi="Arial" w:cs="Arial"/>
          <w:color w:val="010000"/>
          <w:sz w:val="20"/>
        </w:rPr>
        <w:t>VND 39.6 billion due to the following reasons:</w:t>
      </w:r>
      <w:r w:rsidR="00FC7C42" w:rsidRPr="00FF2A8C">
        <w:rPr>
          <w:rFonts w:ascii="Arial" w:hAnsi="Arial" w:cs="Arial"/>
          <w:color w:val="010000"/>
          <w:sz w:val="20"/>
        </w:rPr>
        <w:t xml:space="preserve"> </w:t>
      </w:r>
      <w:bookmarkStart w:id="1" w:name="_GoBack"/>
      <w:bookmarkEnd w:id="1"/>
    </w:p>
    <w:p w14:paraId="00000006" w14:textId="5AD1CDDC" w:rsidR="00F06079" w:rsidRPr="00FF2A8C" w:rsidRDefault="00FF726B" w:rsidP="00EC6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A8C">
        <w:rPr>
          <w:rFonts w:ascii="Arial" w:hAnsi="Arial" w:cs="Arial"/>
          <w:color w:val="010000"/>
          <w:sz w:val="20"/>
        </w:rPr>
        <w:t>Food production and business activities: due to the difficult economic situation, slow consumption, and consumer tendency</w:t>
      </w:r>
      <w:r w:rsidR="00B33D26" w:rsidRPr="00FF2A8C">
        <w:rPr>
          <w:rFonts w:ascii="Arial" w:hAnsi="Arial" w:cs="Arial"/>
          <w:color w:val="010000"/>
          <w:sz w:val="20"/>
        </w:rPr>
        <w:t xml:space="preserve"> to tighten</w:t>
      </w:r>
      <w:r w:rsidRPr="00FF2A8C">
        <w:rPr>
          <w:rFonts w:ascii="Arial" w:hAnsi="Arial" w:cs="Arial"/>
          <w:color w:val="010000"/>
          <w:sz w:val="20"/>
        </w:rPr>
        <w:t xml:space="preserve"> spending. In addition, in the first quarter, the Tet holiday and cold weather negatively impacted the company's ice cream sales.</w:t>
      </w:r>
    </w:p>
    <w:p w14:paraId="00000007" w14:textId="6E9B9A2D" w:rsidR="00F06079" w:rsidRPr="00FF2A8C" w:rsidRDefault="00FF726B" w:rsidP="00EC6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A8C">
        <w:rPr>
          <w:rFonts w:ascii="Arial" w:hAnsi="Arial" w:cs="Arial"/>
          <w:color w:val="010000"/>
          <w:sz w:val="20"/>
        </w:rPr>
        <w:t xml:space="preserve">Hotel and resort business activities: occupancy </w:t>
      </w:r>
      <w:r w:rsidR="00B33D26" w:rsidRPr="00FF2A8C">
        <w:rPr>
          <w:rFonts w:ascii="Arial" w:hAnsi="Arial" w:cs="Arial"/>
          <w:color w:val="010000"/>
          <w:sz w:val="20"/>
        </w:rPr>
        <w:t>rates</w:t>
      </w:r>
      <w:r w:rsidRPr="00FF2A8C">
        <w:rPr>
          <w:rFonts w:ascii="Arial" w:hAnsi="Arial" w:cs="Arial"/>
          <w:color w:val="010000"/>
          <w:sz w:val="20"/>
        </w:rPr>
        <w:t xml:space="preserve"> at hotels </w:t>
      </w:r>
      <w:r w:rsidR="00B33D26" w:rsidRPr="00FF2A8C">
        <w:rPr>
          <w:rFonts w:ascii="Arial" w:hAnsi="Arial" w:cs="Arial"/>
          <w:color w:val="010000"/>
          <w:sz w:val="20"/>
        </w:rPr>
        <w:t>are</w:t>
      </w:r>
      <w:r w:rsidRPr="00FF2A8C">
        <w:rPr>
          <w:rFonts w:ascii="Arial" w:hAnsi="Arial" w:cs="Arial"/>
          <w:color w:val="010000"/>
          <w:sz w:val="20"/>
        </w:rPr>
        <w:t xml:space="preserve"> gradually increasing but still face significant competition in terms of room rates and service quality from newly established resorts and hotels.</w:t>
      </w:r>
    </w:p>
    <w:p w14:paraId="00000008" w14:textId="3B5D9E15" w:rsidR="00F06079" w:rsidRPr="00FF2A8C" w:rsidRDefault="00FF726B" w:rsidP="00EC6A0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A8C">
        <w:rPr>
          <w:rFonts w:ascii="Arial" w:hAnsi="Arial" w:cs="Arial"/>
          <w:color w:val="010000"/>
          <w:sz w:val="20"/>
        </w:rPr>
        <w:t>Remedy and roadmap</w:t>
      </w:r>
    </w:p>
    <w:p w14:paraId="00000009" w14:textId="69EFD549" w:rsidR="00F06079" w:rsidRPr="00FF2A8C" w:rsidRDefault="00FF726B" w:rsidP="00EC6A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A8C">
        <w:rPr>
          <w:rFonts w:ascii="Arial" w:hAnsi="Arial" w:cs="Arial"/>
          <w:color w:val="010000"/>
          <w:sz w:val="20"/>
        </w:rPr>
        <w:t xml:space="preserve">The Board of Directors and the Executive Board's orientation remains focused on improving production and business efficiency and using profits from production and business activities to offset accumulated </w:t>
      </w:r>
      <w:r w:rsidR="00B33D26" w:rsidRPr="00FF2A8C">
        <w:rPr>
          <w:rFonts w:ascii="Arial" w:hAnsi="Arial" w:cs="Arial"/>
          <w:color w:val="010000"/>
          <w:sz w:val="20"/>
        </w:rPr>
        <w:t>losses</w:t>
      </w:r>
      <w:r w:rsidRPr="00FF2A8C">
        <w:rPr>
          <w:rFonts w:ascii="Arial" w:hAnsi="Arial" w:cs="Arial"/>
          <w:color w:val="010000"/>
          <w:sz w:val="20"/>
        </w:rPr>
        <w:t>. In the coming time, the Executive Board will continue to carry out the following tasks:</w:t>
      </w:r>
    </w:p>
    <w:p w14:paraId="0000000A" w14:textId="1A77621D" w:rsidR="00F06079" w:rsidRPr="00FF2A8C" w:rsidRDefault="00FF726B" w:rsidP="00EC6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A8C">
        <w:rPr>
          <w:rFonts w:ascii="Arial" w:hAnsi="Arial" w:cs="Arial"/>
          <w:color w:val="010000"/>
          <w:sz w:val="20"/>
        </w:rPr>
        <w:t xml:space="preserve">In the field of food production and business: continue to promote investment in </w:t>
      </w:r>
      <w:r w:rsidR="00B33D26" w:rsidRPr="00FF2A8C">
        <w:rPr>
          <w:rFonts w:ascii="Arial" w:hAnsi="Arial" w:cs="Arial"/>
          <w:color w:val="010000"/>
          <w:sz w:val="20"/>
        </w:rPr>
        <w:t xml:space="preserve">Research and Development </w:t>
      </w:r>
      <w:r w:rsidRPr="00FF2A8C">
        <w:rPr>
          <w:rFonts w:ascii="Arial" w:hAnsi="Arial" w:cs="Arial"/>
          <w:color w:val="010000"/>
          <w:sz w:val="20"/>
        </w:rPr>
        <w:t>activities, prioritize</w:t>
      </w:r>
      <w:r w:rsidR="00FC7C42" w:rsidRPr="00FF2A8C">
        <w:rPr>
          <w:rFonts w:ascii="Arial" w:hAnsi="Arial" w:cs="Arial"/>
          <w:color w:val="010000"/>
          <w:sz w:val="20"/>
        </w:rPr>
        <w:t xml:space="preserve"> </w:t>
      </w:r>
      <w:r w:rsidRPr="00FF2A8C">
        <w:rPr>
          <w:rFonts w:ascii="Arial" w:hAnsi="Arial" w:cs="Arial"/>
          <w:color w:val="010000"/>
          <w:sz w:val="20"/>
        </w:rPr>
        <w:t xml:space="preserve">preserving traditional flavors while developing new products with high competitiveness in the market. Ensure </w:t>
      </w:r>
      <w:r w:rsidR="00B33D26" w:rsidRPr="00FF2A8C">
        <w:rPr>
          <w:rFonts w:ascii="Arial" w:hAnsi="Arial" w:cs="Arial"/>
          <w:color w:val="010000"/>
          <w:sz w:val="20"/>
        </w:rPr>
        <w:t xml:space="preserve">the </w:t>
      </w:r>
      <w:r w:rsidRPr="00FF2A8C">
        <w:rPr>
          <w:rFonts w:ascii="Arial" w:hAnsi="Arial" w:cs="Arial"/>
          <w:color w:val="010000"/>
          <w:sz w:val="20"/>
        </w:rPr>
        <w:t>health and rights of consumers by using natural, safe, and environmentally friendly materials.</w:t>
      </w:r>
    </w:p>
    <w:p w14:paraId="0234A6DF" w14:textId="77777777" w:rsidR="00DE085E" w:rsidRPr="00FF2A8C" w:rsidRDefault="00FF726B" w:rsidP="00EC6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A8C">
        <w:rPr>
          <w:rFonts w:ascii="Arial" w:hAnsi="Arial" w:cs="Arial"/>
          <w:color w:val="010000"/>
          <w:sz w:val="20"/>
        </w:rPr>
        <w:t>In the field of hotel and resort business: strive to gradually upgrade and renovate the interior/exterior, orient operations towards 5-star standards with full services:</w:t>
      </w:r>
      <w:r w:rsidR="00FC7C42" w:rsidRPr="00FF2A8C">
        <w:rPr>
          <w:rFonts w:ascii="Arial" w:hAnsi="Arial" w:cs="Arial"/>
          <w:color w:val="010000"/>
          <w:sz w:val="20"/>
        </w:rPr>
        <w:t xml:space="preserve"> </w:t>
      </w:r>
      <w:r w:rsidRPr="00FF2A8C">
        <w:rPr>
          <w:rFonts w:ascii="Arial" w:hAnsi="Arial" w:cs="Arial"/>
          <w:color w:val="010000"/>
          <w:sz w:val="20"/>
        </w:rPr>
        <w:t xml:space="preserve">accommodation, MICE, sports and entertainment services, health care and treatment, sightseeing tours, </w:t>
      </w:r>
      <w:r w:rsidR="00DE085E" w:rsidRPr="00FF2A8C">
        <w:rPr>
          <w:rFonts w:ascii="Arial" w:hAnsi="Arial" w:cs="Arial"/>
          <w:color w:val="010000"/>
          <w:sz w:val="20"/>
        </w:rPr>
        <w:t>repositioning</w:t>
      </w:r>
      <w:r w:rsidRPr="00FF2A8C">
        <w:rPr>
          <w:rFonts w:ascii="Arial" w:hAnsi="Arial" w:cs="Arial"/>
          <w:color w:val="010000"/>
          <w:sz w:val="20"/>
        </w:rPr>
        <w:t xml:space="preserve"> the hotel segment in the market; simultaneously continuously update information on tourism promotion activities of </w:t>
      </w:r>
      <w:r w:rsidR="00DE085E" w:rsidRPr="00FF2A8C">
        <w:rPr>
          <w:rFonts w:ascii="Arial" w:hAnsi="Arial" w:cs="Arial"/>
          <w:color w:val="010000"/>
          <w:sz w:val="20"/>
        </w:rPr>
        <w:t xml:space="preserve">Khanh Hoa Department of Tourism under </w:t>
      </w:r>
      <w:r w:rsidRPr="00FF2A8C">
        <w:rPr>
          <w:rFonts w:ascii="Arial" w:hAnsi="Arial" w:cs="Arial"/>
          <w:color w:val="010000"/>
          <w:sz w:val="20"/>
        </w:rPr>
        <w:t>Khanh Hoa Tourism Association to have timely and appropriate sales policies.</w:t>
      </w:r>
    </w:p>
    <w:p w14:paraId="0000000C" w14:textId="5DAD56A6" w:rsidR="00F06079" w:rsidRPr="00FF2A8C" w:rsidRDefault="00FF726B" w:rsidP="00EC6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A8C">
        <w:rPr>
          <w:rFonts w:ascii="Arial" w:hAnsi="Arial" w:cs="Arial"/>
          <w:color w:val="010000"/>
          <w:sz w:val="20"/>
        </w:rPr>
        <w:t xml:space="preserve">In other business fields: It is expected to develop </w:t>
      </w:r>
      <w:r w:rsidR="00DE085E" w:rsidRPr="00FF2A8C">
        <w:rPr>
          <w:rFonts w:ascii="Arial" w:hAnsi="Arial" w:cs="Arial"/>
          <w:color w:val="010000"/>
          <w:sz w:val="20"/>
        </w:rPr>
        <w:t>several</w:t>
      </w:r>
      <w:r w:rsidRPr="00FF2A8C">
        <w:rPr>
          <w:rFonts w:ascii="Arial" w:hAnsi="Arial" w:cs="Arial"/>
          <w:color w:val="010000"/>
          <w:sz w:val="20"/>
        </w:rPr>
        <w:t xml:space="preserve"> new, feasible projects in big cities, suitable with the capacity to implement investment activities, develop projects that create good business effect and also </w:t>
      </w:r>
      <w:r w:rsidR="00DE085E" w:rsidRPr="00FF2A8C">
        <w:rPr>
          <w:rFonts w:ascii="Arial" w:hAnsi="Arial" w:cs="Arial"/>
          <w:color w:val="010000"/>
          <w:sz w:val="20"/>
        </w:rPr>
        <w:t>consider</w:t>
      </w:r>
      <w:r w:rsidRPr="00FF2A8C">
        <w:rPr>
          <w:rFonts w:ascii="Arial" w:hAnsi="Arial" w:cs="Arial"/>
          <w:color w:val="010000"/>
          <w:sz w:val="20"/>
        </w:rPr>
        <w:t xml:space="preserve"> transferring some assets according to the policy approved by the General Meeting of Shareholders in 2022.</w:t>
      </w:r>
      <w:r w:rsidRPr="00FF2A8C">
        <w:rPr>
          <w:rFonts w:ascii="Arial" w:hAnsi="Arial" w:cs="Arial"/>
          <w:color w:val="010000"/>
          <w:sz w:val="20"/>
        </w:rPr>
        <w:cr/>
      </w:r>
      <w:r w:rsidRPr="00FF2A8C">
        <w:rPr>
          <w:rFonts w:ascii="Arial" w:hAnsi="Arial" w:cs="Arial"/>
          <w:color w:val="010000"/>
          <w:sz w:val="20"/>
        </w:rPr>
        <w:br/>
      </w:r>
    </w:p>
    <w:sectPr w:rsidR="00F06079" w:rsidRPr="00FF2A8C" w:rsidSect="00FC7C4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A6019"/>
    <w:multiLevelType w:val="multilevel"/>
    <w:tmpl w:val="D60401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C11794D"/>
    <w:multiLevelType w:val="multilevel"/>
    <w:tmpl w:val="A08ED4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9"/>
    <w:rsid w:val="00B33D26"/>
    <w:rsid w:val="00DE085E"/>
    <w:rsid w:val="00EC6A05"/>
    <w:rsid w:val="00F06079"/>
    <w:rsid w:val="00FC7C42"/>
    <w:rsid w:val="00FF2A8C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AC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3F4B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43F4B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81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Times New Roman" w:eastAsia="Times New Roman" w:hAnsi="Times New Roman" w:cs="Times New Roman"/>
      <w:color w:val="E43F4B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42" w:lineRule="exact"/>
      <w:jc w:val="right"/>
    </w:pPr>
    <w:rPr>
      <w:rFonts w:ascii="Times New Roman" w:eastAsia="Times New Roman" w:hAnsi="Times New Roman" w:cs="Times New Roman"/>
      <w:b/>
      <w:bCs/>
      <w:color w:val="E43F4B"/>
      <w:sz w:val="19"/>
      <w:szCs w:val="19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3F4B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43F4B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81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Times New Roman" w:eastAsia="Times New Roman" w:hAnsi="Times New Roman" w:cs="Times New Roman"/>
      <w:color w:val="E43F4B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42" w:lineRule="exact"/>
      <w:jc w:val="right"/>
    </w:pPr>
    <w:rPr>
      <w:rFonts w:ascii="Times New Roman" w:eastAsia="Times New Roman" w:hAnsi="Times New Roman" w:cs="Times New Roman"/>
      <w:b/>
      <w:bCs/>
      <w:color w:val="E43F4B"/>
      <w:sz w:val="19"/>
      <w:szCs w:val="19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v+qbjjN97BdXaHJiErXBYmPffw==">CgMxLjAyCGguZ2pkZ3hzOAByITFjckczZTlvMlhOOHI0bnRHOURDNG9LUVZ4RkJRNmdUNQ==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2024-05-20T03:24:00Z</dcterms:created>
  <dcterms:modified xsi:type="dcterms:W3CDTF">2024-05-21T08:14:00Z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95156f58c2b53d4a757c91b7967cd89b0d7a3b66b23daff5f26e96618e8c408f</vt:lpwstr>
  </property>
</Properties>
</file>