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7CB3E" w14:textId="77777777" w:rsidR="006110D5" w:rsidRPr="00A66726" w:rsidRDefault="007D5F46" w:rsidP="006060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2"/>
        </w:rPr>
      </w:pPr>
      <w:r w:rsidRPr="00A66726">
        <w:rPr>
          <w:rFonts w:ascii="Arial" w:hAnsi="Arial" w:cs="Arial"/>
          <w:b/>
          <w:color w:val="010000"/>
          <w:sz w:val="20"/>
        </w:rPr>
        <w:t>TPP: Annual General Mandate 2024</w:t>
      </w:r>
    </w:p>
    <w:p w14:paraId="712CE6BB" w14:textId="20450610" w:rsidR="006110D5" w:rsidRPr="00A66726" w:rsidRDefault="007D5F46" w:rsidP="006060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On May 13, 2024, Tan </w:t>
      </w:r>
      <w:proofErr w:type="spellStart"/>
      <w:r w:rsidRPr="00A66726">
        <w:rPr>
          <w:rFonts w:ascii="Arial" w:hAnsi="Arial" w:cs="Arial"/>
          <w:color w:val="010000"/>
          <w:sz w:val="20"/>
        </w:rPr>
        <w:t>Phu</w:t>
      </w:r>
      <w:proofErr w:type="spellEnd"/>
      <w:r w:rsidRPr="00A66726">
        <w:rPr>
          <w:rFonts w:ascii="Arial" w:hAnsi="Arial" w:cs="Arial"/>
          <w:color w:val="010000"/>
          <w:sz w:val="20"/>
        </w:rPr>
        <w:t xml:space="preserve"> Viet Nam JSC announced </w:t>
      </w:r>
      <w:r w:rsidR="003452F2" w:rsidRPr="00A66726">
        <w:rPr>
          <w:rFonts w:ascii="Arial" w:hAnsi="Arial" w:cs="Arial"/>
          <w:color w:val="010000"/>
          <w:sz w:val="20"/>
        </w:rPr>
        <w:t>General Mandate</w:t>
      </w:r>
      <w:r w:rsidR="00606069">
        <w:rPr>
          <w:rFonts w:ascii="Arial" w:hAnsi="Arial" w:cs="Arial"/>
          <w:color w:val="010000"/>
          <w:sz w:val="20"/>
        </w:rPr>
        <w:t xml:space="preserve"> No. 01/2024/</w:t>
      </w:r>
      <w:r w:rsidRPr="00A66726">
        <w:rPr>
          <w:rFonts w:ascii="Arial" w:hAnsi="Arial" w:cs="Arial"/>
          <w:color w:val="010000"/>
          <w:sz w:val="20"/>
        </w:rPr>
        <w:t>NQ-DHDCD on a</w:t>
      </w:r>
      <w:r w:rsidR="003452F2" w:rsidRPr="00A66726">
        <w:rPr>
          <w:rFonts w:ascii="Arial" w:hAnsi="Arial" w:cs="Arial"/>
          <w:color w:val="010000"/>
          <w:sz w:val="20"/>
        </w:rPr>
        <w:t>pproving the matters under the authority</w:t>
      </w:r>
      <w:r w:rsidRPr="00A66726">
        <w:rPr>
          <w:rFonts w:ascii="Arial" w:hAnsi="Arial" w:cs="Arial"/>
          <w:color w:val="010000"/>
          <w:sz w:val="20"/>
        </w:rPr>
        <w:t xml:space="preserve"> of the </w:t>
      </w:r>
      <w:r w:rsidR="00606069">
        <w:rPr>
          <w:rFonts w:ascii="Arial" w:hAnsi="Arial" w:cs="Arial"/>
          <w:color w:val="010000"/>
          <w:sz w:val="20"/>
        </w:rPr>
        <w:t>General Meeting</w:t>
      </w:r>
      <w:r w:rsidRPr="00A66726">
        <w:rPr>
          <w:rFonts w:ascii="Arial" w:hAnsi="Arial" w:cs="Arial"/>
          <w:color w:val="010000"/>
          <w:sz w:val="20"/>
        </w:rPr>
        <w:t xml:space="preserve"> as follows: </w:t>
      </w:r>
    </w:p>
    <w:p w14:paraId="629C92A3" w14:textId="77777777" w:rsidR="006110D5" w:rsidRPr="00A66726" w:rsidRDefault="007D5F46" w:rsidP="006060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‎‎Article 1. Approve the Report of the Board of Directors (together with the Report of the Audit Committee) and the Board of Managers of Tan </w:t>
      </w:r>
      <w:proofErr w:type="spellStart"/>
      <w:r w:rsidRPr="00A66726">
        <w:rPr>
          <w:rFonts w:ascii="Arial" w:hAnsi="Arial" w:cs="Arial"/>
          <w:color w:val="010000"/>
          <w:sz w:val="20"/>
        </w:rPr>
        <w:t>Phu</w:t>
      </w:r>
      <w:proofErr w:type="spellEnd"/>
      <w:r w:rsidRPr="00A66726">
        <w:rPr>
          <w:rFonts w:ascii="Arial" w:hAnsi="Arial" w:cs="Arial"/>
          <w:color w:val="010000"/>
          <w:sz w:val="20"/>
        </w:rPr>
        <w:t xml:space="preserve"> Vietnam JSC (the "Company") on Result 2023 and Plan 2024;</w:t>
      </w:r>
    </w:p>
    <w:p w14:paraId="2BB2570D" w14:textId="77777777" w:rsidR="006110D5" w:rsidRPr="00A66726" w:rsidRDefault="007D5F46" w:rsidP="007D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>On the implementation of targets according to the Business plan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0"/>
        <w:gridCol w:w="2980"/>
        <w:gridCol w:w="1025"/>
        <w:gridCol w:w="1555"/>
        <w:gridCol w:w="1405"/>
        <w:gridCol w:w="1494"/>
      </w:tblGrid>
      <w:tr w:rsidR="006110D5" w:rsidRPr="00A66726" w14:paraId="1C2187A3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24D69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09E2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ED12B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B4A86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 xml:space="preserve">Results 2023 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6A7C1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Plan</w:t>
            </w:r>
          </w:p>
          <w:p w14:paraId="124E965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A71ED" w14:textId="77777777" w:rsidR="006110D5" w:rsidRPr="00A66726" w:rsidRDefault="007D5F46" w:rsidP="0000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 xml:space="preserve">% </w:t>
            </w:r>
            <w:r w:rsidR="00004986" w:rsidRPr="00A66726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Pr="00A66726">
              <w:rPr>
                <w:rFonts w:ascii="Arial" w:hAnsi="Arial" w:cs="Arial"/>
                <w:color w:val="010000"/>
                <w:sz w:val="20"/>
              </w:rPr>
              <w:t>compared to plan</w:t>
            </w:r>
          </w:p>
        </w:tc>
      </w:tr>
      <w:tr w:rsidR="006110D5" w:rsidRPr="00A66726" w14:paraId="234B391A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D397A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2DF2E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8A3BB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E035E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2,507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3FD1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2,500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17AA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6110D5" w:rsidRPr="00A66726" w14:paraId="5414E161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A6B8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proofErr w:type="spellStart"/>
            <w:r w:rsidRPr="00A66726">
              <w:rPr>
                <w:rFonts w:ascii="Arial" w:hAnsi="Arial" w:cs="Arial"/>
                <w:color w:val="010000"/>
                <w:sz w:val="20"/>
              </w:rPr>
              <w:t>i</w:t>
            </w:r>
            <w:proofErr w:type="spellEnd"/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B9553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B2B industry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C59FC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4E14E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1,271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42F1F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1,150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0A48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111%</w:t>
            </w:r>
          </w:p>
        </w:tc>
      </w:tr>
      <w:tr w:rsidR="006110D5" w:rsidRPr="00A66726" w14:paraId="56EB15F7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71643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DE1E1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B2C industry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F50E7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F716D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590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F55B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650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71AC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90%</w:t>
            </w:r>
          </w:p>
        </w:tc>
      </w:tr>
      <w:tr w:rsidR="006110D5" w:rsidRPr="00A66726" w14:paraId="16D98394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67E1F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1397C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Soft Packaging Industry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73C2A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BE33C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646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955AE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700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8C8BC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92%</w:t>
            </w:r>
          </w:p>
        </w:tc>
      </w:tr>
      <w:tr w:rsidR="006110D5" w:rsidRPr="00A66726" w14:paraId="08409708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98FD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02B7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0071D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DB4AF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26.7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96C8C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27.3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621EF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98%</w:t>
            </w:r>
          </w:p>
        </w:tc>
      </w:tr>
      <w:tr w:rsidR="006110D5" w:rsidRPr="00A66726" w14:paraId="72636F6B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ED324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6DF9F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DC4E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7D292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6002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20.1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0E58E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6110D5" w:rsidRPr="00A66726" w14:paraId="55BF16DD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65F3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FD138" w14:textId="77777777" w:rsidR="006110D5" w:rsidRPr="00A66726" w:rsidRDefault="007D5F46" w:rsidP="0000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The dividend rate for 2022 distributed in 2023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A1E2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3524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72ECD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B483C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6110D5" w:rsidRPr="00A66726" w14:paraId="24F9D8F1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CF9CC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7D4F6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 xml:space="preserve">Expected dividend rate for 2023 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1B0A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2642A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957E7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E1F0B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6110D5" w:rsidRPr="00A66726" w14:paraId="1BC6F796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4576A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A4A62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Net profit margin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4796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147AB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0.8%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74543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0.8%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8E28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6110D5" w:rsidRPr="00A66726" w14:paraId="588E42B2" w14:textId="77777777" w:rsidTr="007D5F46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50537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5F303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8806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1A4E3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450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F7347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450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64A53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64A179C2" w14:textId="77777777" w:rsidR="006110D5" w:rsidRPr="00A66726" w:rsidRDefault="007D5F46" w:rsidP="007D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Production and business plan for 2024: </w:t>
      </w:r>
    </w:p>
    <w:p w14:paraId="21C8F22D" w14:textId="77777777" w:rsidR="006110D5" w:rsidRPr="00A66726" w:rsidRDefault="007D5F46" w:rsidP="007D5F4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>Targets of plan for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0"/>
        <w:gridCol w:w="2596"/>
        <w:gridCol w:w="1089"/>
        <w:gridCol w:w="1540"/>
        <w:gridCol w:w="1678"/>
        <w:gridCol w:w="1656"/>
      </w:tblGrid>
      <w:tr w:rsidR="006110D5" w:rsidRPr="00A66726" w14:paraId="2ED8A07E" w14:textId="77777777" w:rsidTr="007D5F46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F750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853DF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667CE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922DA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4BBE8" w14:textId="5E26FA1B" w:rsidR="006110D5" w:rsidRPr="00A66726" w:rsidRDefault="00004986" w:rsidP="0060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Results</w:t>
            </w:r>
            <w:r w:rsidR="006003FD" w:rsidRPr="00A6672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7D5F46" w:rsidRPr="00A6672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BDFE2" w14:textId="72FBFDC8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% compared to 2023</w:t>
            </w:r>
          </w:p>
        </w:tc>
      </w:tr>
      <w:tr w:rsidR="006110D5" w:rsidRPr="00A66726" w14:paraId="244A7052" w14:textId="77777777" w:rsidTr="007D5F46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1CEE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A3DB1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D92BB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2EB32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2,757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5C02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2,507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92342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110%</w:t>
            </w:r>
          </w:p>
        </w:tc>
      </w:tr>
      <w:tr w:rsidR="006110D5" w:rsidRPr="00A66726" w14:paraId="17EBBA2B" w14:textId="77777777" w:rsidTr="007D5F46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3CF5B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6C08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4FF8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B4A30" w14:textId="2B7BCC9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31</w:t>
            </w:r>
            <w:r w:rsidR="006003FD" w:rsidRPr="00A66726">
              <w:rPr>
                <w:rFonts w:ascii="Arial" w:hAnsi="Arial" w:cs="Arial"/>
                <w:color w:val="010000"/>
                <w:sz w:val="20"/>
              </w:rPr>
              <w:t>.</w:t>
            </w:r>
            <w:r w:rsidRPr="00A6672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9E81C" w14:textId="770A7273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26</w:t>
            </w:r>
            <w:r w:rsidR="006003FD" w:rsidRPr="00A66726">
              <w:rPr>
                <w:rFonts w:ascii="Arial" w:hAnsi="Arial" w:cs="Arial"/>
                <w:color w:val="010000"/>
                <w:sz w:val="20"/>
              </w:rPr>
              <w:t>.</w:t>
            </w:r>
            <w:r w:rsidRPr="00A6672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A3764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117%</w:t>
            </w:r>
          </w:p>
        </w:tc>
      </w:tr>
      <w:tr w:rsidR="006110D5" w:rsidRPr="00A66726" w14:paraId="0A883BB2" w14:textId="77777777" w:rsidTr="007D5F46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1B7FF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C8A33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EBB3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01985" w14:textId="299BAA8E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24</w:t>
            </w:r>
            <w:r w:rsidR="006003FD" w:rsidRPr="00A66726">
              <w:rPr>
                <w:rFonts w:ascii="Arial" w:hAnsi="Arial" w:cs="Arial"/>
                <w:color w:val="010000"/>
                <w:sz w:val="20"/>
              </w:rPr>
              <w:t>.</w:t>
            </w:r>
            <w:r w:rsidRPr="00A66726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FF18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1F606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125%</w:t>
            </w:r>
          </w:p>
        </w:tc>
      </w:tr>
      <w:tr w:rsidR="006110D5" w:rsidRPr="00A66726" w14:paraId="1F354C64" w14:textId="77777777" w:rsidTr="007D5F46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6C45A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77C6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B33E2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24A1A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450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1C1F4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450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A86E2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5AC06C52" w14:textId="514CA59F" w:rsidR="006110D5" w:rsidRPr="00A66726" w:rsidRDefault="007D5F46" w:rsidP="007D5F4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‎‎Article 2. Approve the Audited Financial Statements 2023 </w:t>
      </w:r>
    </w:p>
    <w:p w14:paraId="23087762" w14:textId="77777777" w:rsidR="006110D5" w:rsidRPr="00A66726" w:rsidRDefault="007D5F46" w:rsidP="007D5F4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‎‎Article 3. Approve the Profit distribution plan 2023 of the Company; </w:t>
      </w:r>
    </w:p>
    <w:p w14:paraId="16D8AC2B" w14:textId="77777777" w:rsidR="006110D5" w:rsidRPr="00A66726" w:rsidRDefault="007D5F46" w:rsidP="007D5F4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Plan on profit distribution in 2023;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5"/>
        <w:gridCol w:w="4592"/>
        <w:gridCol w:w="1245"/>
        <w:gridCol w:w="2617"/>
      </w:tblGrid>
      <w:tr w:rsidR="006110D5" w:rsidRPr="00A66726" w14:paraId="5E7E4D9B" w14:textId="77777777" w:rsidTr="007D5F46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19EA1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F3207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ED81D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E36EF" w14:textId="00D36772" w:rsidR="006110D5" w:rsidRPr="00A66726" w:rsidRDefault="00004986" w:rsidP="00D94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Results</w:t>
            </w:r>
            <w:r w:rsidR="00D940C6" w:rsidRPr="00A6672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7D5F46" w:rsidRPr="00A6672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6110D5" w:rsidRPr="00A66726" w14:paraId="4D8B5236" w14:textId="77777777" w:rsidTr="007D5F46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42AE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E6923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4244E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18DD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 2,506,944,295,482</w:t>
            </w:r>
          </w:p>
        </w:tc>
      </w:tr>
      <w:tr w:rsidR="006110D5" w:rsidRPr="00A66726" w14:paraId="20251C9F" w14:textId="77777777" w:rsidTr="007D5F46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DCB0A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32E46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32626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B36E2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 26,690,354,815</w:t>
            </w:r>
          </w:p>
        </w:tc>
      </w:tr>
      <w:tr w:rsidR="006110D5" w:rsidRPr="00A66726" w14:paraId="4C447190" w14:textId="77777777" w:rsidTr="007D5F46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7D328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C85BD" w14:textId="77777777" w:rsidR="006110D5" w:rsidRPr="00A66726" w:rsidRDefault="007D5F46" w:rsidP="002E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38630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FDA3E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 19,983,677,351</w:t>
            </w:r>
          </w:p>
        </w:tc>
      </w:tr>
      <w:tr w:rsidR="006110D5" w:rsidRPr="00A66726" w14:paraId="2143144B" w14:textId="77777777" w:rsidTr="007D5F46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57082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A2B34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Dividend in 2023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84D0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F9E91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 0</w:t>
            </w:r>
          </w:p>
        </w:tc>
      </w:tr>
      <w:tr w:rsidR="006110D5" w:rsidRPr="00A66726" w14:paraId="72199064" w14:textId="77777777" w:rsidTr="00A66726">
        <w:trPr>
          <w:trHeight w:val="64"/>
        </w:trPr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E3F37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BDCC7" w14:textId="69B7C054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Profit transferred to the next year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16FD2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BA79A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VND 19,983,677,351</w:t>
            </w:r>
          </w:p>
        </w:tc>
      </w:tr>
      <w:tr w:rsidR="006110D5" w:rsidRPr="00A66726" w14:paraId="06C11DCA" w14:textId="77777777" w:rsidTr="007D5F46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5372D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29415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Dividend/profit rate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7E88E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18466" w14:textId="77777777" w:rsidR="006110D5" w:rsidRPr="00A66726" w:rsidRDefault="007D5F46" w:rsidP="007D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A6672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</w:tbl>
    <w:p w14:paraId="39A094F7" w14:textId="53B8544A" w:rsidR="006110D5" w:rsidRPr="00A66726" w:rsidRDefault="007D5F46" w:rsidP="006060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‎‎Article 4. Approve the </w:t>
      </w:r>
      <w:r w:rsidR="00A66726" w:rsidRPr="00A66726">
        <w:rPr>
          <w:rFonts w:ascii="Arial" w:hAnsi="Arial" w:cs="Arial"/>
          <w:color w:val="010000"/>
          <w:sz w:val="20"/>
        </w:rPr>
        <w:t xml:space="preserve">Report on </w:t>
      </w:r>
      <w:r w:rsidRPr="00A66726">
        <w:rPr>
          <w:rFonts w:ascii="Arial" w:hAnsi="Arial" w:cs="Arial"/>
          <w:color w:val="010000"/>
          <w:sz w:val="20"/>
        </w:rPr>
        <w:t xml:space="preserve">remuneration of the Board of Directors in 2023 and the </w:t>
      </w:r>
      <w:r w:rsidR="00A66726" w:rsidRPr="00A66726">
        <w:rPr>
          <w:rFonts w:ascii="Arial" w:hAnsi="Arial" w:cs="Arial"/>
          <w:color w:val="010000"/>
          <w:sz w:val="20"/>
        </w:rPr>
        <w:t xml:space="preserve">plan for </w:t>
      </w:r>
      <w:r w:rsidRPr="00A66726">
        <w:rPr>
          <w:rFonts w:ascii="Arial" w:hAnsi="Arial" w:cs="Arial"/>
          <w:color w:val="010000"/>
          <w:sz w:val="20"/>
        </w:rPr>
        <w:t>remuneration of the Board of Directors in 2024.</w:t>
      </w:r>
    </w:p>
    <w:p w14:paraId="607FA59D" w14:textId="77777777" w:rsidR="006110D5" w:rsidRPr="00A66726" w:rsidRDefault="007D5F46" w:rsidP="006060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‎‎Article 5. Approve the list of </w:t>
      </w:r>
      <w:r w:rsidR="00004986" w:rsidRPr="00A66726">
        <w:rPr>
          <w:rFonts w:ascii="Arial" w:hAnsi="Arial" w:cs="Arial"/>
          <w:color w:val="010000"/>
          <w:sz w:val="20"/>
        </w:rPr>
        <w:t>audit c</w:t>
      </w:r>
      <w:r w:rsidRPr="00A66726">
        <w:rPr>
          <w:rFonts w:ascii="Arial" w:hAnsi="Arial" w:cs="Arial"/>
          <w:color w:val="010000"/>
          <w:sz w:val="20"/>
        </w:rPr>
        <w:t>ompan</w:t>
      </w:r>
      <w:r w:rsidR="00004986" w:rsidRPr="00A66726">
        <w:rPr>
          <w:rFonts w:ascii="Arial" w:hAnsi="Arial" w:cs="Arial"/>
          <w:color w:val="010000"/>
          <w:sz w:val="20"/>
        </w:rPr>
        <w:t>ies</w:t>
      </w:r>
      <w:r w:rsidRPr="00A66726">
        <w:rPr>
          <w:rFonts w:ascii="Arial" w:hAnsi="Arial" w:cs="Arial"/>
          <w:color w:val="010000"/>
          <w:sz w:val="20"/>
        </w:rPr>
        <w:t xml:space="preserve"> for the Financial </w:t>
      </w:r>
      <w:r w:rsidR="00004986" w:rsidRPr="00A66726">
        <w:rPr>
          <w:rFonts w:ascii="Arial" w:hAnsi="Arial" w:cs="Arial"/>
          <w:color w:val="010000"/>
          <w:sz w:val="20"/>
        </w:rPr>
        <w:t>Statements</w:t>
      </w:r>
      <w:r w:rsidRPr="00A66726">
        <w:rPr>
          <w:rFonts w:ascii="Arial" w:hAnsi="Arial" w:cs="Arial"/>
          <w:color w:val="010000"/>
          <w:sz w:val="20"/>
        </w:rPr>
        <w:t xml:space="preserve"> 2024</w:t>
      </w:r>
      <w:r w:rsidR="00004986" w:rsidRPr="00A66726">
        <w:rPr>
          <w:rFonts w:ascii="Arial" w:hAnsi="Arial" w:cs="Arial"/>
          <w:color w:val="010000"/>
          <w:sz w:val="20"/>
        </w:rPr>
        <w:t xml:space="preserve"> of the Company</w:t>
      </w:r>
    </w:p>
    <w:p w14:paraId="1C0168BB" w14:textId="5D481FD0" w:rsidR="006110D5" w:rsidRPr="00A66726" w:rsidRDefault="007D5F46" w:rsidP="006060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>‎‎Article 6. Approve the addition of the Company's business</w:t>
      </w:r>
      <w:r w:rsidR="00A66726" w:rsidRPr="00A66726">
        <w:rPr>
          <w:rFonts w:ascii="Arial" w:hAnsi="Arial" w:cs="Arial"/>
          <w:color w:val="010000"/>
          <w:sz w:val="20"/>
        </w:rPr>
        <w:t xml:space="preserve"> lines</w:t>
      </w:r>
      <w:r w:rsidRPr="00A66726">
        <w:rPr>
          <w:rFonts w:ascii="Arial" w:hAnsi="Arial" w:cs="Arial"/>
          <w:color w:val="010000"/>
          <w:sz w:val="20"/>
        </w:rPr>
        <w:t>.</w:t>
      </w:r>
    </w:p>
    <w:p w14:paraId="7D1B8899" w14:textId="77777777" w:rsidR="006110D5" w:rsidRPr="00A66726" w:rsidRDefault="007D5F46" w:rsidP="006060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‎‎Article 7. This </w:t>
      </w:r>
      <w:r w:rsidR="002E7130" w:rsidRPr="00A66726">
        <w:rPr>
          <w:rFonts w:ascii="Arial" w:hAnsi="Arial" w:cs="Arial"/>
          <w:color w:val="010000"/>
          <w:sz w:val="20"/>
        </w:rPr>
        <w:t>General Mandate</w:t>
      </w:r>
      <w:r w:rsidRPr="00A66726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p w14:paraId="24545E67" w14:textId="35F2F448" w:rsidR="006110D5" w:rsidRPr="00A66726" w:rsidRDefault="007D5F46" w:rsidP="006060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A66726">
        <w:rPr>
          <w:rFonts w:ascii="Arial" w:hAnsi="Arial" w:cs="Arial"/>
          <w:color w:val="010000"/>
          <w:sz w:val="20"/>
        </w:rPr>
        <w:t xml:space="preserve">The Board of Directors, </w:t>
      </w:r>
      <w:r w:rsidR="00606069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A66726">
        <w:rPr>
          <w:rFonts w:ascii="Arial" w:hAnsi="Arial" w:cs="Arial"/>
          <w:color w:val="010000"/>
          <w:sz w:val="20"/>
        </w:rPr>
        <w:t xml:space="preserve"> of the Company and relevant individuals are responsible for the implementation of this General Mandate.</w:t>
      </w:r>
    </w:p>
    <w:sectPr w:rsidR="006110D5" w:rsidRPr="00A66726" w:rsidSect="007D5F4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4017"/>
    <w:multiLevelType w:val="multilevel"/>
    <w:tmpl w:val="B548005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5"/>
    <w:rsid w:val="00004986"/>
    <w:rsid w:val="002E7130"/>
    <w:rsid w:val="003452F2"/>
    <w:rsid w:val="006003FD"/>
    <w:rsid w:val="00606069"/>
    <w:rsid w:val="006110D5"/>
    <w:rsid w:val="007D5F46"/>
    <w:rsid w:val="00A66726"/>
    <w:rsid w:val="00B516FF"/>
    <w:rsid w:val="00D940C6"/>
    <w:rsid w:val="00E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B0C10"/>
  <w15:docId w15:val="{6A3A2D5E-344B-4E89-A1EB-F197E51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2245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spacing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1">
    <w:name w:val="Heading #1"/>
    <w:basedOn w:val="Normal"/>
    <w:link w:val="Heading10"/>
    <w:pPr>
      <w:ind w:left="2370"/>
      <w:outlineLvl w:val="0"/>
    </w:pPr>
    <w:rPr>
      <w:rFonts w:ascii="Times New Roman" w:eastAsia="Times New Roman" w:hAnsi="Times New Roman" w:cs="Times New Roman"/>
      <w:color w:val="C32245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64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93" w:lineRule="auto"/>
      <w:ind w:firstLine="3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0YXC3nfa5EES+mM1xi4Q2VQdag==">CgMxLjA4AHIhMVlYeldfZFROYmw5ZS1WY2RFeEZBdTNhQUdGS29IMGlV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2024-05-21T03:44:00Z</dcterms:created>
  <dcterms:modified xsi:type="dcterms:W3CDTF">2024-05-21T03:44:00Z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39f6555ec47b22d99edeee1825d5587c0a1d8c4e92506607b949ab343f194b41</vt:lpwstr>
  </property>
</Properties>
</file>