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920A" w14:textId="77777777" w:rsidR="0087788D" w:rsidRPr="00573C88" w:rsidRDefault="00FA4EA1" w:rsidP="00A65A2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6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73C88">
        <w:rPr>
          <w:rFonts w:ascii="Arial" w:hAnsi="Arial" w:cs="Arial"/>
          <w:b/>
          <w:bCs/>
          <w:color w:val="010000"/>
          <w:sz w:val="20"/>
        </w:rPr>
        <w:t>VC6:</w:t>
      </w:r>
      <w:r w:rsidRPr="00573C88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6F7F4A25" w14:textId="21047450" w:rsidR="0087788D" w:rsidRPr="00573C88" w:rsidRDefault="00FA4EA1" w:rsidP="00A65A2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 xml:space="preserve">On May 15, 2024, </w:t>
      </w:r>
      <w:proofErr w:type="spellStart"/>
      <w:r w:rsidRPr="00573C88">
        <w:rPr>
          <w:rFonts w:ascii="Arial" w:hAnsi="Arial" w:cs="Arial"/>
          <w:color w:val="010000"/>
          <w:sz w:val="20"/>
        </w:rPr>
        <w:t>Visicons</w:t>
      </w:r>
      <w:proofErr w:type="spellEnd"/>
      <w:r w:rsidRPr="00573C88">
        <w:rPr>
          <w:rFonts w:ascii="Arial" w:hAnsi="Arial" w:cs="Arial"/>
          <w:color w:val="010000"/>
          <w:sz w:val="20"/>
        </w:rPr>
        <w:t xml:space="preserve"> Construction and Investment Joint Stock Company announced</w:t>
      </w:r>
      <w:r w:rsidR="00690837" w:rsidRPr="00573C88">
        <w:rPr>
          <w:rFonts w:ascii="Arial" w:hAnsi="Arial" w:cs="Arial"/>
          <w:color w:val="010000"/>
          <w:sz w:val="20"/>
        </w:rPr>
        <w:t xml:space="preserve"> </w:t>
      </w:r>
      <w:r w:rsidRPr="00573C88">
        <w:rPr>
          <w:rFonts w:ascii="Arial" w:hAnsi="Arial" w:cs="Arial"/>
          <w:color w:val="010000"/>
          <w:sz w:val="20"/>
        </w:rPr>
        <w:t xml:space="preserve">Decision No. 18 QD/VC6 - HDQT on approving the implementation of the </w:t>
      </w:r>
      <w:r w:rsidR="00A65A2E">
        <w:rPr>
          <w:rFonts w:ascii="Arial" w:hAnsi="Arial" w:cs="Arial"/>
          <w:color w:val="010000"/>
          <w:sz w:val="20"/>
        </w:rPr>
        <w:t>issue</w:t>
      </w:r>
      <w:r w:rsidRPr="00573C88">
        <w:rPr>
          <w:rFonts w:ascii="Arial" w:hAnsi="Arial" w:cs="Arial"/>
          <w:color w:val="010000"/>
          <w:sz w:val="20"/>
        </w:rPr>
        <w:t xml:space="preserve"> plan and share </w:t>
      </w:r>
      <w:r w:rsidR="00A65A2E">
        <w:rPr>
          <w:rFonts w:ascii="Arial" w:hAnsi="Arial" w:cs="Arial"/>
          <w:color w:val="010000"/>
          <w:sz w:val="20"/>
        </w:rPr>
        <w:t>issue</w:t>
      </w:r>
      <w:r w:rsidRPr="00573C88">
        <w:rPr>
          <w:rFonts w:ascii="Arial" w:hAnsi="Arial" w:cs="Arial"/>
          <w:color w:val="010000"/>
          <w:sz w:val="20"/>
        </w:rPr>
        <w:t xml:space="preserve"> dossier to pay dividends by shares in 2023 as follows: </w:t>
      </w:r>
    </w:p>
    <w:p w14:paraId="014C5658" w14:textId="641DE908" w:rsidR="0087788D" w:rsidRPr="00573C88" w:rsidRDefault="00FA4EA1" w:rsidP="00A65A2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 xml:space="preserve">Article 1. Approve the implementation of the share </w:t>
      </w:r>
      <w:r w:rsidR="00A65A2E">
        <w:rPr>
          <w:rFonts w:ascii="Arial" w:hAnsi="Arial" w:cs="Arial"/>
          <w:color w:val="010000"/>
          <w:sz w:val="20"/>
        </w:rPr>
        <w:t>issue</w:t>
      </w:r>
      <w:r w:rsidRPr="00573C88">
        <w:rPr>
          <w:rFonts w:ascii="Arial" w:hAnsi="Arial" w:cs="Arial"/>
          <w:color w:val="010000"/>
          <w:sz w:val="20"/>
        </w:rPr>
        <w:t xml:space="preserve"> plan to pay </w:t>
      </w:r>
      <w:r w:rsidR="00DF3D53" w:rsidRPr="00573C88">
        <w:rPr>
          <w:rFonts w:ascii="Arial" w:hAnsi="Arial" w:cs="Arial"/>
          <w:color w:val="010000"/>
          <w:sz w:val="20"/>
        </w:rPr>
        <w:t>dividends</w:t>
      </w:r>
      <w:r w:rsidRPr="00573C88">
        <w:rPr>
          <w:rFonts w:ascii="Arial" w:hAnsi="Arial" w:cs="Arial"/>
          <w:color w:val="010000"/>
          <w:sz w:val="20"/>
        </w:rPr>
        <w:t xml:space="preserve"> by shares in 2023 according to the provisions of Section 6.3, Article 6 of the Annual General Mandate 2024 dated April 26, 2024, of </w:t>
      </w:r>
      <w:proofErr w:type="spellStart"/>
      <w:r w:rsidRPr="00573C88">
        <w:rPr>
          <w:rFonts w:ascii="Arial" w:hAnsi="Arial" w:cs="Arial"/>
          <w:color w:val="010000"/>
          <w:sz w:val="20"/>
        </w:rPr>
        <w:t>Visicons</w:t>
      </w:r>
      <w:proofErr w:type="spellEnd"/>
      <w:r w:rsidRPr="00573C88">
        <w:rPr>
          <w:rFonts w:ascii="Arial" w:hAnsi="Arial" w:cs="Arial"/>
          <w:color w:val="010000"/>
          <w:sz w:val="20"/>
        </w:rPr>
        <w:t xml:space="preserve"> Construction and Investment Joint Stock Company,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5"/>
        <w:gridCol w:w="2537"/>
        <w:gridCol w:w="5904"/>
      </w:tblGrid>
      <w:tr w:rsidR="0087788D" w:rsidRPr="00573C88" w14:paraId="63495DDC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92CD5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9D06E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Share name: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DE43A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Shares of </w:t>
            </w:r>
            <w:proofErr w:type="spellStart"/>
            <w:r w:rsidRPr="00573C88">
              <w:rPr>
                <w:rFonts w:ascii="Arial" w:hAnsi="Arial" w:cs="Arial"/>
                <w:color w:val="010000"/>
                <w:sz w:val="20"/>
              </w:rPr>
              <w:t>Visicons</w:t>
            </w:r>
            <w:proofErr w:type="spellEnd"/>
            <w:r w:rsidRPr="00573C88">
              <w:rPr>
                <w:rFonts w:ascii="Arial" w:hAnsi="Arial" w:cs="Arial"/>
                <w:color w:val="010000"/>
                <w:sz w:val="20"/>
              </w:rPr>
              <w:t xml:space="preserve"> Construction And Investment Joint Stock Company</w:t>
            </w:r>
          </w:p>
        </w:tc>
      </w:tr>
      <w:tr w:rsidR="0087788D" w:rsidRPr="00573C88" w14:paraId="013EC2C2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2A421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F4C58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Share type: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0BB51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Common share</w:t>
            </w:r>
          </w:p>
        </w:tc>
      </w:tr>
      <w:tr w:rsidR="0087788D" w:rsidRPr="00573C88" w14:paraId="29E84801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24605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51AD7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Securities code: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3740F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VC6</w:t>
            </w:r>
          </w:p>
        </w:tc>
      </w:tr>
      <w:tr w:rsidR="0087788D" w:rsidRPr="00573C88" w14:paraId="39AF6BF4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F1F0F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77456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Share par value: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70B0A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VND 10,000/share</w:t>
            </w:r>
          </w:p>
        </w:tc>
      </w:tr>
      <w:tr w:rsidR="0087788D" w:rsidRPr="00573C88" w14:paraId="275B44B4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D4A15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FC451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Charter capital: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B5C93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VND 87,998,820,000</w:t>
            </w:r>
          </w:p>
        </w:tc>
      </w:tr>
      <w:tr w:rsidR="0087788D" w:rsidRPr="00573C88" w14:paraId="2115481F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763F0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1D104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Total number of issued shares: 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C76C6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8,799,882 shares </w:t>
            </w:r>
          </w:p>
        </w:tc>
      </w:tr>
      <w:tr w:rsidR="0087788D" w:rsidRPr="00573C88" w14:paraId="03389673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C9DF6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7.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4B1E4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Number of treasury shares: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97BA0" w14:textId="3873F59B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0 share</w:t>
            </w:r>
            <w:r w:rsidR="00DF3D53" w:rsidRPr="00573C88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87788D" w:rsidRPr="00573C88" w14:paraId="3F55CF96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06DC7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8.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04762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Number of outstanding shares: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F4E25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8,799,882 shares </w:t>
            </w:r>
          </w:p>
        </w:tc>
      </w:tr>
      <w:tr w:rsidR="0087788D" w:rsidRPr="00573C88" w14:paraId="2B88C9E2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987EE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9.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09884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Number of shares expected to be issued: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7DEBD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879,988 shares </w:t>
            </w:r>
          </w:p>
        </w:tc>
      </w:tr>
      <w:tr w:rsidR="0087788D" w:rsidRPr="00573C88" w14:paraId="4D78E9C3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5B90C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10.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8C1F3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Total value of shares to be issued at par value: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550C9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VND 8,799,880,000 </w:t>
            </w:r>
          </w:p>
        </w:tc>
      </w:tr>
      <w:tr w:rsidR="0087788D" w:rsidRPr="00573C88" w14:paraId="7D77EC2C" w14:textId="77777777" w:rsidTr="004333CC">
        <w:tc>
          <w:tcPr>
            <w:tcW w:w="31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CC744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11.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544FC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Expected increase of charter capital: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443C0" w14:textId="77777777" w:rsidR="0087788D" w:rsidRPr="00573C88" w:rsidRDefault="0087788D" w:rsidP="00690837">
            <w:pP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7788D" w:rsidRPr="00573C88" w14:paraId="6ECFBA85" w14:textId="77777777" w:rsidTr="004333CC">
        <w:tc>
          <w:tcPr>
            <w:tcW w:w="31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C4280" w14:textId="77777777" w:rsidR="0087788D" w:rsidRPr="00573C88" w:rsidRDefault="0087788D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025B4" w14:textId="0ED443CF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- Charter capital before </w:t>
            </w:r>
            <w:r w:rsidR="00A65A2E">
              <w:rPr>
                <w:rFonts w:ascii="Arial" w:hAnsi="Arial" w:cs="Arial"/>
                <w:color w:val="010000"/>
                <w:sz w:val="20"/>
              </w:rPr>
              <w:t>issue</w:t>
            </w:r>
            <w:r w:rsidRPr="00573C88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35850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VND 87,998,820,000</w:t>
            </w:r>
          </w:p>
        </w:tc>
      </w:tr>
      <w:tr w:rsidR="0087788D" w:rsidRPr="00573C88" w14:paraId="7E4329D9" w14:textId="77777777" w:rsidTr="004333CC">
        <w:tc>
          <w:tcPr>
            <w:tcW w:w="31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368C5" w14:textId="77777777" w:rsidR="0087788D" w:rsidRPr="00573C88" w:rsidRDefault="0087788D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70922" w14:textId="4F83857E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- Expected charter capital after the </w:t>
            </w:r>
            <w:r w:rsidR="00A65A2E">
              <w:rPr>
                <w:rFonts w:ascii="Arial" w:hAnsi="Arial" w:cs="Arial"/>
                <w:color w:val="010000"/>
                <w:sz w:val="20"/>
              </w:rPr>
              <w:t>issue</w:t>
            </w:r>
            <w:r w:rsidRPr="00573C88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646B4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VND 96,798,700,000</w:t>
            </w:r>
          </w:p>
        </w:tc>
      </w:tr>
      <w:tr w:rsidR="0087788D" w:rsidRPr="00573C88" w14:paraId="59E48564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96E74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12.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F4577" w14:textId="6DDEE338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Form of the </w:t>
            </w:r>
            <w:r w:rsidR="00A65A2E">
              <w:rPr>
                <w:rFonts w:ascii="Arial" w:hAnsi="Arial" w:cs="Arial"/>
                <w:color w:val="010000"/>
                <w:sz w:val="20"/>
              </w:rPr>
              <w:t>issue</w:t>
            </w:r>
            <w:r w:rsidRPr="00573C88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89A4E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For dividend payment</w:t>
            </w:r>
          </w:p>
        </w:tc>
      </w:tr>
      <w:tr w:rsidR="0087788D" w:rsidRPr="00573C88" w14:paraId="753B44D2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E2C1D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13.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F25C3" w14:textId="2673AA76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Number of shares issued/</w:t>
            </w:r>
            <w:r w:rsidR="00690837" w:rsidRPr="00573C8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73C88">
              <w:rPr>
                <w:rFonts w:ascii="Arial" w:hAnsi="Arial" w:cs="Arial"/>
                <w:color w:val="010000"/>
                <w:sz w:val="20"/>
              </w:rPr>
              <w:t>total number of outstanding share rate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8596C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</w:tr>
      <w:tr w:rsidR="0087788D" w:rsidRPr="00573C88" w14:paraId="011387A0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C1C27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14.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10BB7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Rights exercise rate: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B3596" w14:textId="648EC3CB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10% of outstanding shares (Shares issued to existing </w:t>
            </w:r>
            <w:r w:rsidRPr="00573C88">
              <w:rPr>
                <w:rFonts w:ascii="Arial" w:hAnsi="Arial" w:cs="Arial"/>
                <w:color w:val="010000"/>
                <w:sz w:val="20"/>
              </w:rPr>
              <w:lastRenderedPageBreak/>
              <w:t>shareholders will be distributed according to the execution rate of 10:1.</w:t>
            </w:r>
            <w:r w:rsidR="00690837" w:rsidRPr="00573C8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73C88">
              <w:rPr>
                <w:rFonts w:ascii="Arial" w:hAnsi="Arial" w:cs="Arial"/>
                <w:color w:val="010000"/>
                <w:sz w:val="20"/>
              </w:rPr>
              <w:t>Accordingly, on the record date for exercising rights, shareholders owning 01 share will be entitled to 01 right, and shareholders owning 10 rights will receive an additional 01 new share).</w:t>
            </w:r>
          </w:p>
        </w:tc>
      </w:tr>
      <w:tr w:rsidR="0087788D" w:rsidRPr="00573C88" w14:paraId="744443C7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6A737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lastRenderedPageBreak/>
              <w:t>15.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9DB9F" w14:textId="4D2B3D78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Subject of the </w:t>
            </w:r>
            <w:r w:rsidR="00A65A2E">
              <w:rPr>
                <w:rFonts w:ascii="Arial" w:hAnsi="Arial" w:cs="Arial"/>
                <w:color w:val="010000"/>
                <w:sz w:val="20"/>
              </w:rPr>
              <w:t>issue</w:t>
            </w:r>
            <w:r w:rsidRPr="00573C88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B449E" w14:textId="7816DF93" w:rsidR="0087788D" w:rsidRPr="00573C88" w:rsidRDefault="00592AE5" w:rsidP="0059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Outstanding</w:t>
            </w:r>
            <w:r w:rsidR="00FA4EA1" w:rsidRPr="00573C88">
              <w:rPr>
                <w:rFonts w:ascii="Arial" w:hAnsi="Arial" w:cs="Arial"/>
                <w:color w:val="010000"/>
                <w:sz w:val="20"/>
              </w:rPr>
              <w:t xml:space="preserve"> shareholders whose names are on the shareholder list as of the record date </w:t>
            </w:r>
            <w:r w:rsidR="004333CC" w:rsidRPr="00573C88">
              <w:rPr>
                <w:rFonts w:ascii="Arial" w:hAnsi="Arial" w:cs="Arial"/>
                <w:color w:val="010000"/>
                <w:sz w:val="20"/>
              </w:rPr>
              <w:t>to exercise the rights</w:t>
            </w:r>
            <w:r w:rsidR="00FA4EA1" w:rsidRPr="00573C88">
              <w:rPr>
                <w:rFonts w:ascii="Arial" w:hAnsi="Arial" w:cs="Arial"/>
                <w:color w:val="010000"/>
                <w:sz w:val="20"/>
              </w:rPr>
              <w:t xml:space="preserve"> to receive dividends by shares in 2023.</w:t>
            </w:r>
          </w:p>
        </w:tc>
      </w:tr>
      <w:tr w:rsidR="0087788D" w:rsidRPr="00573C88" w14:paraId="31A0FE83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91616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16.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1404D" w14:textId="125D324C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Source of capital for the </w:t>
            </w:r>
            <w:r w:rsidR="00A65A2E">
              <w:rPr>
                <w:rFonts w:ascii="Arial" w:hAnsi="Arial" w:cs="Arial"/>
                <w:color w:val="010000"/>
                <w:sz w:val="20"/>
              </w:rPr>
              <w:t>issue</w:t>
            </w:r>
            <w:r w:rsidRPr="00573C88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CC2FC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From the undistributed profit after tax according to the Audited Financial Statements 2023.</w:t>
            </w:r>
          </w:p>
        </w:tc>
      </w:tr>
      <w:tr w:rsidR="0087788D" w:rsidRPr="00573C88" w14:paraId="40568AB8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0AD94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FACE8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Rounding and handling fractional shares: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90537" w14:textId="2592A494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The number of shares issued will be rounded down to the nearest unit, and fractional shares (if any) will be </w:t>
            </w:r>
            <w:r w:rsidR="00592AE5">
              <w:rPr>
                <w:rFonts w:ascii="Arial" w:hAnsi="Arial" w:cs="Arial"/>
                <w:color w:val="010000"/>
                <w:sz w:val="20"/>
              </w:rPr>
              <w:t>disposed of</w:t>
            </w:r>
            <w:r w:rsidRPr="00573C88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4289ED04" w14:textId="25519805" w:rsidR="0087788D" w:rsidRPr="00573C88" w:rsidRDefault="00FA4EA1" w:rsidP="0059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For example: Shareholder A owns 1</w:t>
            </w:r>
            <w:r w:rsidR="004333CC" w:rsidRPr="00573C88">
              <w:rPr>
                <w:rFonts w:ascii="Arial" w:hAnsi="Arial" w:cs="Arial"/>
                <w:color w:val="010000"/>
                <w:sz w:val="20"/>
              </w:rPr>
              <w:t>,</w:t>
            </w:r>
            <w:r w:rsidRPr="00573C88">
              <w:rPr>
                <w:rFonts w:ascii="Arial" w:hAnsi="Arial" w:cs="Arial"/>
                <w:color w:val="010000"/>
                <w:sz w:val="20"/>
              </w:rPr>
              <w:t>256 shares. With an execution rate of</w:t>
            </w:r>
            <w:r w:rsidR="00690837" w:rsidRPr="00573C8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73C88">
              <w:rPr>
                <w:rFonts w:ascii="Arial" w:hAnsi="Arial" w:cs="Arial"/>
                <w:color w:val="010000"/>
                <w:sz w:val="20"/>
              </w:rPr>
              <w:t>10:1, the number of shares that Shareholder A will receive is: 1</w:t>
            </w:r>
            <w:r w:rsidR="004333CC" w:rsidRPr="00573C88">
              <w:rPr>
                <w:rFonts w:ascii="Arial" w:hAnsi="Arial" w:cs="Arial"/>
                <w:color w:val="010000"/>
                <w:sz w:val="20"/>
              </w:rPr>
              <w:t>,</w:t>
            </w:r>
            <w:r w:rsidRPr="00573C88">
              <w:rPr>
                <w:rFonts w:ascii="Arial" w:hAnsi="Arial" w:cs="Arial"/>
                <w:color w:val="010000"/>
                <w:sz w:val="20"/>
              </w:rPr>
              <w:t xml:space="preserve">256* 10/ 100 = 125.60 shares. According to the rounding principle, the number of new shares that Shareholder A will receive is 125 shares. The number of fractional shares (0.60 shares) will be </w:t>
            </w:r>
            <w:r w:rsidR="00592AE5">
              <w:rPr>
                <w:rFonts w:ascii="Arial" w:hAnsi="Arial" w:cs="Arial"/>
                <w:color w:val="010000"/>
                <w:sz w:val="20"/>
              </w:rPr>
              <w:t>disposed of</w:t>
            </w:r>
            <w:r w:rsidRPr="00573C88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87788D" w:rsidRPr="00573C88" w14:paraId="251D5A2E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48DA2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18.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A630E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Transfer restrictions: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6FCCF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The issued shares are not subject to transfer restrictions, and shareholders are not allowed to transfer their rights to third parties.</w:t>
            </w:r>
          </w:p>
        </w:tc>
      </w:tr>
      <w:tr w:rsidR="0087788D" w:rsidRPr="00573C88" w14:paraId="464C6DD6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96D66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19.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6E853" w14:textId="0D5F1A05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Expected time of the </w:t>
            </w:r>
            <w:r w:rsidR="00A65A2E">
              <w:rPr>
                <w:rFonts w:ascii="Arial" w:hAnsi="Arial" w:cs="Arial"/>
                <w:color w:val="010000"/>
                <w:sz w:val="20"/>
              </w:rPr>
              <w:t>issue</w:t>
            </w:r>
            <w:r w:rsidRPr="00573C88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BA52C" w14:textId="77777777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782"/>
                <w:tab w:val="left" w:pos="597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After receiving approval from the State Securities Commission, expected in 2024. </w:t>
            </w:r>
          </w:p>
        </w:tc>
      </w:tr>
      <w:tr w:rsidR="0087788D" w:rsidRPr="00573C88" w14:paraId="421D758E" w14:textId="77777777" w:rsidTr="004333CC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FB979" w14:textId="0B87D691" w:rsidR="0087788D" w:rsidRPr="00573C88" w:rsidRDefault="00FA4EA1" w:rsidP="0043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>20.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B0F88" w14:textId="0C82420C" w:rsidR="0087788D" w:rsidRPr="00573C88" w:rsidRDefault="00FA4EA1" w:rsidP="00690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Share </w:t>
            </w:r>
            <w:r w:rsidR="00A65A2E">
              <w:rPr>
                <w:rFonts w:ascii="Arial" w:hAnsi="Arial" w:cs="Arial"/>
                <w:color w:val="010000"/>
                <w:sz w:val="20"/>
              </w:rPr>
              <w:t>issue</w:t>
            </w:r>
            <w:r w:rsidRPr="00573C88">
              <w:rPr>
                <w:rFonts w:ascii="Arial" w:hAnsi="Arial" w:cs="Arial"/>
                <w:color w:val="010000"/>
                <w:sz w:val="20"/>
              </w:rPr>
              <w:t xml:space="preserve"> purpose:</w:t>
            </w:r>
          </w:p>
        </w:tc>
        <w:tc>
          <w:tcPr>
            <w:tcW w:w="3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8D197" w14:textId="1036EDF3" w:rsidR="0087788D" w:rsidRPr="00573C88" w:rsidRDefault="00FA4EA1" w:rsidP="0043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3C88">
              <w:rPr>
                <w:rFonts w:ascii="Arial" w:hAnsi="Arial" w:cs="Arial"/>
                <w:color w:val="010000"/>
                <w:sz w:val="20"/>
              </w:rPr>
              <w:t xml:space="preserve">To issue shares to pay dividends by shares in 2023 as decided in Section 6.3, Article 6 of the Annual General Mandate 2024 dated April 26, 2024, of </w:t>
            </w:r>
            <w:proofErr w:type="spellStart"/>
            <w:r w:rsidRPr="00573C88">
              <w:rPr>
                <w:rFonts w:ascii="Arial" w:hAnsi="Arial" w:cs="Arial"/>
                <w:color w:val="010000"/>
                <w:sz w:val="20"/>
              </w:rPr>
              <w:t>Visicons</w:t>
            </w:r>
            <w:proofErr w:type="spellEnd"/>
            <w:r w:rsidRPr="00573C88">
              <w:rPr>
                <w:rFonts w:ascii="Arial" w:hAnsi="Arial" w:cs="Arial"/>
                <w:color w:val="010000"/>
                <w:sz w:val="20"/>
              </w:rPr>
              <w:t xml:space="preserve"> Construction and Investment Joint Stock Company.</w:t>
            </w:r>
          </w:p>
        </w:tc>
      </w:tr>
    </w:tbl>
    <w:p w14:paraId="7F33B168" w14:textId="524AACE7" w:rsidR="0087788D" w:rsidRPr="00573C88" w:rsidRDefault="00FA4EA1" w:rsidP="00592A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 xml:space="preserve">Article 2. Approve the share </w:t>
      </w:r>
      <w:r w:rsidR="00A65A2E">
        <w:rPr>
          <w:rFonts w:ascii="Arial" w:hAnsi="Arial" w:cs="Arial"/>
          <w:color w:val="010000"/>
          <w:sz w:val="20"/>
        </w:rPr>
        <w:t>issue</w:t>
      </w:r>
      <w:r w:rsidRPr="00573C88">
        <w:rPr>
          <w:rFonts w:ascii="Arial" w:hAnsi="Arial" w:cs="Arial"/>
          <w:color w:val="010000"/>
          <w:sz w:val="20"/>
        </w:rPr>
        <w:t xml:space="preserve"> dossier to pay dividend by share in 2023 by </w:t>
      </w:r>
      <w:proofErr w:type="spellStart"/>
      <w:r w:rsidRPr="00573C88">
        <w:rPr>
          <w:rFonts w:ascii="Arial" w:hAnsi="Arial" w:cs="Arial"/>
          <w:color w:val="010000"/>
          <w:sz w:val="20"/>
        </w:rPr>
        <w:t>Visicons</w:t>
      </w:r>
      <w:proofErr w:type="spellEnd"/>
      <w:r w:rsidRPr="00573C88">
        <w:rPr>
          <w:rFonts w:ascii="Arial" w:hAnsi="Arial" w:cs="Arial"/>
          <w:color w:val="010000"/>
          <w:sz w:val="20"/>
        </w:rPr>
        <w:t xml:space="preserve"> Construction and Investment Joint Stock Company, including:</w:t>
      </w:r>
    </w:p>
    <w:p w14:paraId="7D29E767" w14:textId="1B278EB3" w:rsidR="0087788D" w:rsidRPr="00573C88" w:rsidRDefault="00FA4EA1" w:rsidP="00592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 xml:space="preserve">Report on the share </w:t>
      </w:r>
      <w:r w:rsidR="00A65A2E">
        <w:rPr>
          <w:rFonts w:ascii="Arial" w:hAnsi="Arial" w:cs="Arial"/>
          <w:color w:val="010000"/>
          <w:sz w:val="20"/>
        </w:rPr>
        <w:t>issue</w:t>
      </w:r>
      <w:r w:rsidRPr="00573C88">
        <w:rPr>
          <w:rFonts w:ascii="Arial" w:hAnsi="Arial" w:cs="Arial"/>
          <w:color w:val="010000"/>
          <w:sz w:val="20"/>
        </w:rPr>
        <w:t xml:space="preserve"> to pay dividends;</w:t>
      </w:r>
    </w:p>
    <w:p w14:paraId="4B9F47BD" w14:textId="504F7AFF" w:rsidR="0087788D" w:rsidRPr="00573C88" w:rsidRDefault="00FA4EA1" w:rsidP="00592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 xml:space="preserve">General Mandate </w:t>
      </w:r>
      <w:r w:rsidR="004333CC" w:rsidRPr="00573C88">
        <w:rPr>
          <w:rFonts w:ascii="Arial" w:hAnsi="Arial" w:cs="Arial"/>
          <w:color w:val="010000"/>
          <w:sz w:val="20"/>
        </w:rPr>
        <w:t xml:space="preserve">on </w:t>
      </w:r>
      <w:r w:rsidRPr="00573C88">
        <w:rPr>
          <w:rFonts w:ascii="Arial" w:hAnsi="Arial" w:cs="Arial"/>
          <w:color w:val="010000"/>
          <w:sz w:val="20"/>
        </w:rPr>
        <w:t>approv</w:t>
      </w:r>
      <w:r w:rsidR="004333CC" w:rsidRPr="00573C88">
        <w:rPr>
          <w:rFonts w:ascii="Arial" w:hAnsi="Arial" w:cs="Arial"/>
          <w:color w:val="010000"/>
          <w:sz w:val="20"/>
        </w:rPr>
        <w:t>ing</w:t>
      </w:r>
      <w:r w:rsidRPr="00573C88">
        <w:rPr>
          <w:rFonts w:ascii="Arial" w:hAnsi="Arial" w:cs="Arial"/>
          <w:color w:val="010000"/>
          <w:sz w:val="20"/>
        </w:rPr>
        <w:t xml:space="preserve"> the share </w:t>
      </w:r>
      <w:r w:rsidR="00A65A2E">
        <w:rPr>
          <w:rFonts w:ascii="Arial" w:hAnsi="Arial" w:cs="Arial"/>
          <w:color w:val="010000"/>
          <w:sz w:val="20"/>
        </w:rPr>
        <w:t>issue</w:t>
      </w:r>
      <w:r w:rsidRPr="00573C88">
        <w:rPr>
          <w:rFonts w:ascii="Arial" w:hAnsi="Arial" w:cs="Arial"/>
          <w:color w:val="010000"/>
          <w:sz w:val="20"/>
        </w:rPr>
        <w:t xml:space="preserve"> plan to pay dividends by shares in 2023;</w:t>
      </w:r>
    </w:p>
    <w:p w14:paraId="388FF819" w14:textId="3D58A567" w:rsidR="0087788D" w:rsidRPr="00573C88" w:rsidRDefault="00FA4EA1" w:rsidP="00592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 xml:space="preserve">Board Decision </w:t>
      </w:r>
      <w:r w:rsidR="004333CC" w:rsidRPr="00573C88">
        <w:rPr>
          <w:rFonts w:ascii="Arial" w:hAnsi="Arial" w:cs="Arial"/>
          <w:color w:val="010000"/>
          <w:sz w:val="20"/>
        </w:rPr>
        <w:t xml:space="preserve">on </w:t>
      </w:r>
      <w:r w:rsidRPr="00573C88">
        <w:rPr>
          <w:rFonts w:ascii="Arial" w:hAnsi="Arial" w:cs="Arial"/>
          <w:color w:val="010000"/>
          <w:sz w:val="20"/>
        </w:rPr>
        <w:t>approv</w:t>
      </w:r>
      <w:r w:rsidR="004333CC" w:rsidRPr="00573C88">
        <w:rPr>
          <w:rFonts w:ascii="Arial" w:hAnsi="Arial" w:cs="Arial"/>
          <w:color w:val="010000"/>
          <w:sz w:val="20"/>
        </w:rPr>
        <w:t>ing</w:t>
      </w:r>
      <w:r w:rsidRPr="00573C88">
        <w:rPr>
          <w:rFonts w:ascii="Arial" w:hAnsi="Arial" w:cs="Arial"/>
          <w:color w:val="010000"/>
          <w:sz w:val="20"/>
        </w:rPr>
        <w:t xml:space="preserve"> the implementation of the share </w:t>
      </w:r>
      <w:r w:rsidR="00A65A2E">
        <w:rPr>
          <w:rFonts w:ascii="Arial" w:hAnsi="Arial" w:cs="Arial"/>
          <w:color w:val="010000"/>
          <w:sz w:val="20"/>
        </w:rPr>
        <w:t>issue</w:t>
      </w:r>
      <w:r w:rsidRPr="00573C88">
        <w:rPr>
          <w:rFonts w:ascii="Arial" w:hAnsi="Arial" w:cs="Arial"/>
          <w:color w:val="010000"/>
          <w:sz w:val="20"/>
        </w:rPr>
        <w:t xml:space="preserve"> plan and share </w:t>
      </w:r>
      <w:r w:rsidR="00A65A2E">
        <w:rPr>
          <w:rFonts w:ascii="Arial" w:hAnsi="Arial" w:cs="Arial"/>
          <w:color w:val="010000"/>
          <w:sz w:val="20"/>
        </w:rPr>
        <w:t>issue</w:t>
      </w:r>
      <w:r w:rsidRPr="00573C88">
        <w:rPr>
          <w:rFonts w:ascii="Arial" w:hAnsi="Arial" w:cs="Arial"/>
          <w:color w:val="010000"/>
          <w:sz w:val="20"/>
        </w:rPr>
        <w:t xml:space="preserve"> dossier to pay dividends by shares in 2023;</w:t>
      </w:r>
    </w:p>
    <w:p w14:paraId="062DBA24" w14:textId="77777777" w:rsidR="0087788D" w:rsidRPr="00573C88" w:rsidRDefault="00FA4EA1" w:rsidP="00592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>Audited Financial Statements 2023;</w:t>
      </w:r>
    </w:p>
    <w:p w14:paraId="234AAF80" w14:textId="77777777" w:rsidR="0087788D" w:rsidRPr="00573C88" w:rsidRDefault="00FA4EA1" w:rsidP="00592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>Other relevant documents (if any).</w:t>
      </w:r>
    </w:p>
    <w:p w14:paraId="033B92BA" w14:textId="467D8505" w:rsidR="0087788D" w:rsidRPr="00573C88" w:rsidRDefault="00FA4EA1" w:rsidP="00592A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lastRenderedPageBreak/>
        <w:t xml:space="preserve">Article 3. The Board of Directors authorizes the Chair of the Board of the Board of Directors and the General Manager- the legal representative of the Company - to carry out the tasks and procedures </w:t>
      </w:r>
      <w:r w:rsidR="00592AE5">
        <w:rPr>
          <w:rFonts w:ascii="Arial" w:hAnsi="Arial" w:cs="Arial"/>
          <w:color w:val="010000"/>
          <w:sz w:val="20"/>
        </w:rPr>
        <w:t>under</w:t>
      </w:r>
      <w:r w:rsidRPr="00573C88">
        <w:rPr>
          <w:rFonts w:ascii="Arial" w:hAnsi="Arial" w:cs="Arial"/>
          <w:color w:val="010000"/>
          <w:sz w:val="20"/>
        </w:rPr>
        <w:t xml:space="preserve"> the Law on Enterprises, Law on Securities, and the Company's Charter, specifically as follows:</w:t>
      </w:r>
    </w:p>
    <w:p w14:paraId="1F789927" w14:textId="46D93630" w:rsidR="0087788D" w:rsidRPr="00573C88" w:rsidRDefault="00FA4EA1" w:rsidP="00592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 xml:space="preserve">Decide the </w:t>
      </w:r>
      <w:r w:rsidR="00A65A2E">
        <w:rPr>
          <w:rFonts w:ascii="Arial" w:hAnsi="Arial" w:cs="Arial"/>
          <w:color w:val="010000"/>
          <w:sz w:val="20"/>
        </w:rPr>
        <w:t>issue</w:t>
      </w:r>
      <w:r w:rsidRPr="00573C88">
        <w:rPr>
          <w:rFonts w:ascii="Arial" w:hAnsi="Arial" w:cs="Arial"/>
          <w:color w:val="010000"/>
          <w:sz w:val="20"/>
        </w:rPr>
        <w:t xml:space="preserve"> time and implement the share </w:t>
      </w:r>
      <w:r w:rsidR="00A65A2E">
        <w:rPr>
          <w:rFonts w:ascii="Arial" w:hAnsi="Arial" w:cs="Arial"/>
          <w:color w:val="010000"/>
          <w:sz w:val="20"/>
        </w:rPr>
        <w:t>issue</w:t>
      </w:r>
      <w:r w:rsidRPr="00573C88">
        <w:rPr>
          <w:rFonts w:ascii="Arial" w:hAnsi="Arial" w:cs="Arial"/>
          <w:color w:val="010000"/>
          <w:sz w:val="20"/>
        </w:rPr>
        <w:t xml:space="preserve"> to pay dividends immediately after receiving approval from the State Securities Commission;</w:t>
      </w:r>
    </w:p>
    <w:p w14:paraId="70982DC2" w14:textId="77777777" w:rsidR="0087788D" w:rsidRPr="00573C88" w:rsidRDefault="00FA4EA1" w:rsidP="00592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>Immediately after completing the payment of dividends to existing shareholders, based on the actual number of shares issued, proceed with:</w:t>
      </w:r>
    </w:p>
    <w:p w14:paraId="19204BFD" w14:textId="77777777" w:rsidR="0087788D" w:rsidRPr="00573C88" w:rsidRDefault="00FA4EA1" w:rsidP="00592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>Register, deposit and listing all newly issued shares to pay dividends at the Vietnam Securities Depository and Clearing Corporation and the Hanoi Stock Exchange;</w:t>
      </w:r>
    </w:p>
    <w:p w14:paraId="070FDA97" w14:textId="77777777" w:rsidR="0087788D" w:rsidRPr="00573C88" w:rsidRDefault="00FA4EA1" w:rsidP="00592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>Carrying out procedures to increase charter capital, adjusting/ registering changes to the Business Registration Certificate with Hanoi Authority for Planning and Investment;</w:t>
      </w:r>
    </w:p>
    <w:p w14:paraId="064196BF" w14:textId="77777777" w:rsidR="0087788D" w:rsidRPr="00573C88" w:rsidRDefault="00FA4EA1" w:rsidP="00592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>Amend, supplement relevant provisions related to charter capital in the Company's Charter and reporting to the General Meeting of Shareholders at the nearest meeting.</w:t>
      </w:r>
    </w:p>
    <w:p w14:paraId="1D40C03B" w14:textId="4C09A40D" w:rsidR="0087788D" w:rsidRPr="00573C88" w:rsidRDefault="00FA4EA1" w:rsidP="00592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 xml:space="preserve">Decide all other matters related to the share </w:t>
      </w:r>
      <w:r w:rsidR="00A65A2E">
        <w:rPr>
          <w:rFonts w:ascii="Arial" w:hAnsi="Arial" w:cs="Arial"/>
          <w:color w:val="010000"/>
          <w:sz w:val="20"/>
        </w:rPr>
        <w:t>issue</w:t>
      </w:r>
      <w:r w:rsidRPr="00573C88">
        <w:rPr>
          <w:rFonts w:ascii="Arial" w:hAnsi="Arial" w:cs="Arial"/>
          <w:color w:val="010000"/>
          <w:sz w:val="20"/>
        </w:rPr>
        <w:t xml:space="preserve"> (including supplementing, amending, and completing the </w:t>
      </w:r>
      <w:r w:rsidR="00A65A2E">
        <w:rPr>
          <w:rFonts w:ascii="Arial" w:hAnsi="Arial" w:cs="Arial"/>
          <w:color w:val="010000"/>
          <w:sz w:val="20"/>
        </w:rPr>
        <w:t>issue</w:t>
      </w:r>
      <w:r w:rsidRPr="00573C88">
        <w:rPr>
          <w:rFonts w:ascii="Arial" w:hAnsi="Arial" w:cs="Arial"/>
          <w:color w:val="010000"/>
          <w:sz w:val="20"/>
        </w:rPr>
        <w:t xml:space="preserve"> plan) to pay dividends by shares in 2023 to shareholders as required by competent State agencies.</w:t>
      </w:r>
    </w:p>
    <w:p w14:paraId="581B5CAB" w14:textId="54624677" w:rsidR="0087788D" w:rsidRPr="00573C88" w:rsidRDefault="00FA4EA1" w:rsidP="00592A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C88">
        <w:rPr>
          <w:rFonts w:ascii="Arial" w:hAnsi="Arial" w:cs="Arial"/>
          <w:color w:val="010000"/>
          <w:sz w:val="20"/>
        </w:rPr>
        <w:t xml:space="preserve">Article 4. This </w:t>
      </w:r>
      <w:r w:rsidR="00592AE5">
        <w:rPr>
          <w:rFonts w:ascii="Arial" w:hAnsi="Arial" w:cs="Arial"/>
          <w:color w:val="010000"/>
          <w:sz w:val="20"/>
        </w:rPr>
        <w:t xml:space="preserve">Board </w:t>
      </w:r>
      <w:r w:rsidRPr="00573C88">
        <w:rPr>
          <w:rFonts w:ascii="Arial" w:hAnsi="Arial" w:cs="Arial"/>
          <w:color w:val="010000"/>
          <w:sz w:val="20"/>
        </w:rPr>
        <w:t>Decision takes effect from the date of its signing. Members of the Board</w:t>
      </w:r>
      <w:r w:rsidR="00592AE5">
        <w:rPr>
          <w:rFonts w:ascii="Arial" w:hAnsi="Arial" w:cs="Arial"/>
          <w:color w:val="010000"/>
          <w:sz w:val="20"/>
        </w:rPr>
        <w:t xml:space="preserve"> of Directors, </w:t>
      </w:r>
      <w:r w:rsidRPr="00573C88">
        <w:rPr>
          <w:rFonts w:ascii="Arial" w:hAnsi="Arial" w:cs="Arial"/>
          <w:color w:val="010000"/>
          <w:sz w:val="20"/>
        </w:rPr>
        <w:t>Supervisory Board</w:t>
      </w:r>
      <w:r w:rsidR="00592AE5">
        <w:rPr>
          <w:rFonts w:ascii="Arial" w:hAnsi="Arial" w:cs="Arial"/>
          <w:color w:val="010000"/>
          <w:sz w:val="20"/>
        </w:rPr>
        <w:t xml:space="preserve"> and Executive Board,</w:t>
      </w:r>
      <w:bookmarkStart w:id="0" w:name="_GoBack"/>
      <w:bookmarkEnd w:id="0"/>
      <w:r w:rsidRPr="00573C88">
        <w:rPr>
          <w:rFonts w:ascii="Arial" w:hAnsi="Arial" w:cs="Arial"/>
          <w:color w:val="010000"/>
          <w:sz w:val="20"/>
        </w:rPr>
        <w:t xml:space="preserve"> Chief Accountant, Heads of departments, units, and individuals concerned are responsible for implementing this Decision.</w:t>
      </w:r>
    </w:p>
    <w:sectPr w:rsidR="0087788D" w:rsidRPr="00573C88" w:rsidSect="0069083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1A7E"/>
    <w:multiLevelType w:val="multilevel"/>
    <w:tmpl w:val="851ACA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A1B1F"/>
        <w:sz w:val="20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8F57E0"/>
    <w:multiLevelType w:val="multilevel"/>
    <w:tmpl w:val="39D895E4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ED3B25"/>
    <w:multiLevelType w:val="multilevel"/>
    <w:tmpl w:val="960E18F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8D"/>
    <w:rsid w:val="004333CC"/>
    <w:rsid w:val="00573C88"/>
    <w:rsid w:val="00592AE5"/>
    <w:rsid w:val="00690837"/>
    <w:rsid w:val="0087788D"/>
    <w:rsid w:val="00A65A2E"/>
    <w:rsid w:val="00D2692C"/>
    <w:rsid w:val="00DF3D53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76AE7"/>
  <w15:docId w15:val="{B6C82B49-A654-479E-B302-D294EC7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B1F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2B2C30"/>
      <w:sz w:val="30"/>
      <w:szCs w:val="3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color w:val="1A1B1F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B1F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B1F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BF355F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B1F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</w:pPr>
    <w:rPr>
      <w:rFonts w:ascii="Times New Roman" w:eastAsia="Times New Roman" w:hAnsi="Times New Roman" w:cs="Times New Roman"/>
      <w:color w:val="1A1B1F"/>
    </w:rPr>
  </w:style>
  <w:style w:type="paragraph" w:customStyle="1" w:styleId="Heading11">
    <w:name w:val="Heading #1"/>
    <w:basedOn w:val="Normal"/>
    <w:link w:val="Heading10"/>
    <w:pPr>
      <w:spacing w:line="180" w:lineRule="auto"/>
      <w:ind w:left="1120"/>
      <w:outlineLvl w:val="0"/>
    </w:pPr>
    <w:rPr>
      <w:rFonts w:ascii="Arial" w:eastAsia="Arial" w:hAnsi="Arial" w:cs="Arial"/>
      <w:color w:val="2B2C30"/>
      <w:sz w:val="30"/>
      <w:szCs w:val="30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69" w:lineRule="auto"/>
      <w:jc w:val="center"/>
    </w:pPr>
    <w:rPr>
      <w:rFonts w:ascii="Arial" w:eastAsia="Arial" w:hAnsi="Arial" w:cs="Arial"/>
      <w:i/>
      <w:iCs/>
      <w:color w:val="1A1B1F"/>
      <w:sz w:val="22"/>
      <w:szCs w:val="22"/>
    </w:rPr>
  </w:style>
  <w:style w:type="paragraph" w:customStyle="1" w:styleId="Heading31">
    <w:name w:val="Heading #3"/>
    <w:basedOn w:val="Normal"/>
    <w:link w:val="Heading30"/>
    <w:pPr>
      <w:ind w:firstLine="180"/>
      <w:outlineLvl w:val="2"/>
    </w:pPr>
    <w:rPr>
      <w:rFonts w:ascii="Times New Roman" w:eastAsia="Times New Roman" w:hAnsi="Times New Roman" w:cs="Times New Roman"/>
      <w:b/>
      <w:bCs/>
      <w:color w:val="1A1B1F"/>
    </w:rPr>
  </w:style>
  <w:style w:type="paragraph" w:customStyle="1" w:styleId="Other0">
    <w:name w:val="Other"/>
    <w:basedOn w:val="Normal"/>
    <w:link w:val="Other"/>
    <w:pPr>
      <w:spacing w:line="300" w:lineRule="auto"/>
    </w:pPr>
    <w:rPr>
      <w:rFonts w:ascii="Times New Roman" w:eastAsia="Times New Roman" w:hAnsi="Times New Roman" w:cs="Times New Roman"/>
      <w:color w:val="1A1B1F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color w:val="BF355F"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1A1B1F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SRq/nLek9w/Cc8sE7xjJcq8WMw==">CgMxLjA4AHIhMXdIbGpyM0xodVdremNpN0JxNXUtdU5sdElEQzZiajZ2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2024-05-21T04:04:00Z</dcterms:created>
  <dcterms:modified xsi:type="dcterms:W3CDTF">2024-05-21T04:04:00Z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6c2a15e1e4bb46d329814ff93afc48566ddf04d19bc27c916740163438731c5e</vt:lpwstr>
  </property>
</Properties>
</file>