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FF681"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C9604D">
        <w:rPr>
          <w:rFonts w:ascii="Arial" w:hAnsi="Arial" w:cs="Arial"/>
          <w:b/>
          <w:color w:val="010000"/>
          <w:sz w:val="20"/>
        </w:rPr>
        <w:t>BBH: Annual General Mandate 2024</w:t>
      </w:r>
    </w:p>
    <w:p w14:paraId="2180A0EF"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On May 16, 2024, Hoang Thach Bagging Joint Stock Company announced General Mandate No. 10/NQDHCD as follows: </w:t>
      </w:r>
    </w:p>
    <w:p w14:paraId="5EAAC425" w14:textId="0FB2CD6C"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Article 1: Approve the production and business results in 2023, the production and business plan for 2024, and the solutions. </w:t>
      </w:r>
    </w:p>
    <w:p w14:paraId="583398AE"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Main targets are as follows:</w:t>
      </w:r>
    </w:p>
    <w:p w14:paraId="4E7531DD" w14:textId="77777777" w:rsidR="00C32871" w:rsidRPr="00C9604D" w:rsidRDefault="00C708ED" w:rsidP="00600CD6">
      <w:pPr>
        <w:numPr>
          <w:ilvl w:val="0"/>
          <w:numId w:val="3"/>
        </w:numPr>
        <w:pBdr>
          <w:top w:val="nil"/>
          <w:left w:val="nil"/>
          <w:bottom w:val="nil"/>
          <w:right w:val="nil"/>
          <w:between w:val="nil"/>
        </w:pBdr>
        <w:tabs>
          <w:tab w:val="left" w:pos="432"/>
          <w:tab w:val="left" w:pos="9701"/>
        </w:tabs>
        <w:spacing w:after="120" w:line="360" w:lineRule="auto"/>
        <w:ind w:left="0" w:firstLine="0"/>
        <w:rPr>
          <w:rFonts w:ascii="Arial" w:eastAsia="Arial" w:hAnsi="Arial" w:cs="Arial"/>
          <w:color w:val="010000"/>
          <w:sz w:val="20"/>
          <w:szCs w:val="20"/>
        </w:rPr>
      </w:pPr>
      <w:r w:rsidRPr="00C9604D">
        <w:rPr>
          <w:rFonts w:ascii="Arial" w:hAnsi="Arial" w:cs="Arial"/>
          <w:color w:val="010000"/>
          <w:sz w:val="20"/>
        </w:rPr>
        <w:t>Production and business results in 2023</w:t>
      </w:r>
    </w:p>
    <w:p w14:paraId="0106BF49" w14:textId="77777777" w:rsidR="00C32871" w:rsidRPr="00C9604D" w:rsidRDefault="008F760B" w:rsidP="00600CD6">
      <w:pPr>
        <w:numPr>
          <w:ilvl w:val="0"/>
          <w:numId w:val="6"/>
        </w:numPr>
        <w:pBdr>
          <w:top w:val="nil"/>
          <w:left w:val="nil"/>
          <w:bottom w:val="nil"/>
          <w:right w:val="nil"/>
          <w:between w:val="nil"/>
        </w:pBdr>
        <w:tabs>
          <w:tab w:val="left" w:pos="432"/>
          <w:tab w:val="left" w:pos="9701"/>
        </w:tabs>
        <w:spacing w:after="120" w:line="360" w:lineRule="auto"/>
        <w:rPr>
          <w:rFonts w:ascii="Arial" w:eastAsia="Arial" w:hAnsi="Arial" w:cs="Arial"/>
          <w:color w:val="010000"/>
          <w:sz w:val="20"/>
          <w:szCs w:val="20"/>
        </w:rPr>
      </w:pPr>
      <w:r w:rsidRPr="00C9604D">
        <w:rPr>
          <w:rFonts w:ascii="Arial" w:hAnsi="Arial" w:cs="Arial"/>
          <w:color w:val="010000"/>
          <w:sz w:val="20"/>
        </w:rPr>
        <w:t>Packaging</w:t>
      </w:r>
      <w:r w:rsidR="004649D9" w:rsidRPr="00C9604D">
        <w:rPr>
          <w:rFonts w:ascii="Arial" w:hAnsi="Arial" w:cs="Arial"/>
          <w:color w:val="010000"/>
          <w:sz w:val="20"/>
        </w:rPr>
        <w:t xml:space="preserve"> production</w:t>
      </w:r>
      <w:r w:rsidRPr="00C9604D">
        <w:rPr>
          <w:rFonts w:ascii="Arial" w:hAnsi="Arial" w:cs="Arial"/>
          <w:color w:val="010000"/>
          <w:sz w:val="20"/>
        </w:rPr>
        <w:t xml:space="preserve"> output</w:t>
      </w:r>
      <w:r w:rsidR="00C708ED" w:rsidRPr="00C9604D">
        <w:rPr>
          <w:rFonts w:ascii="Arial" w:hAnsi="Arial" w:cs="Arial"/>
          <w:color w:val="010000"/>
          <w:sz w:val="20"/>
        </w:rPr>
        <w:t>: 16,575,601 bags</w:t>
      </w:r>
    </w:p>
    <w:p w14:paraId="7AE4F862" w14:textId="77777777" w:rsidR="00C32871" w:rsidRPr="00C9604D" w:rsidRDefault="00C708ED" w:rsidP="00600CD6">
      <w:pPr>
        <w:numPr>
          <w:ilvl w:val="0"/>
          <w:numId w:val="6"/>
        </w:numPr>
        <w:pBdr>
          <w:top w:val="nil"/>
          <w:left w:val="nil"/>
          <w:bottom w:val="nil"/>
          <w:right w:val="nil"/>
          <w:between w:val="nil"/>
        </w:pBdr>
        <w:tabs>
          <w:tab w:val="left" w:pos="432"/>
          <w:tab w:val="left" w:pos="9701"/>
        </w:tabs>
        <w:spacing w:after="120" w:line="360" w:lineRule="auto"/>
        <w:rPr>
          <w:rFonts w:ascii="Arial" w:eastAsia="Arial" w:hAnsi="Arial" w:cs="Arial"/>
          <w:color w:val="010000"/>
          <w:sz w:val="20"/>
          <w:szCs w:val="20"/>
        </w:rPr>
      </w:pPr>
      <w:r w:rsidRPr="00C9604D">
        <w:rPr>
          <w:rFonts w:ascii="Arial" w:hAnsi="Arial" w:cs="Arial"/>
          <w:color w:val="010000"/>
          <w:sz w:val="20"/>
        </w:rPr>
        <w:t>Packaging consumption: 16,575,601 bags</w:t>
      </w:r>
    </w:p>
    <w:p w14:paraId="3D19AF87" w14:textId="77777777" w:rsidR="00C32871" w:rsidRPr="00C9604D" w:rsidRDefault="00C708ED" w:rsidP="00600CD6">
      <w:pPr>
        <w:numPr>
          <w:ilvl w:val="0"/>
          <w:numId w:val="6"/>
        </w:numPr>
        <w:pBdr>
          <w:top w:val="nil"/>
          <w:left w:val="nil"/>
          <w:bottom w:val="nil"/>
          <w:right w:val="nil"/>
          <w:between w:val="nil"/>
        </w:pBdr>
        <w:tabs>
          <w:tab w:val="left" w:pos="432"/>
          <w:tab w:val="left" w:pos="9701"/>
        </w:tabs>
        <w:spacing w:after="120" w:line="360" w:lineRule="auto"/>
        <w:rPr>
          <w:rFonts w:ascii="Arial" w:eastAsia="Arial" w:hAnsi="Arial" w:cs="Arial"/>
          <w:color w:val="010000"/>
          <w:sz w:val="20"/>
          <w:szCs w:val="20"/>
        </w:rPr>
      </w:pPr>
      <w:r w:rsidRPr="00C9604D">
        <w:rPr>
          <w:rFonts w:ascii="Arial" w:hAnsi="Arial" w:cs="Arial"/>
          <w:color w:val="010000"/>
          <w:sz w:val="20"/>
        </w:rPr>
        <w:t>Total revenue: VND 90,669.768 million</w:t>
      </w:r>
    </w:p>
    <w:p w14:paraId="1D6FB107" w14:textId="77777777" w:rsidR="00C32871" w:rsidRPr="00C9604D" w:rsidRDefault="00C708ED" w:rsidP="00600CD6">
      <w:pPr>
        <w:numPr>
          <w:ilvl w:val="0"/>
          <w:numId w:val="6"/>
        </w:numPr>
        <w:pBdr>
          <w:top w:val="nil"/>
          <w:left w:val="nil"/>
          <w:bottom w:val="nil"/>
          <w:right w:val="nil"/>
          <w:between w:val="nil"/>
        </w:pBdr>
        <w:tabs>
          <w:tab w:val="left" w:pos="432"/>
          <w:tab w:val="left" w:pos="9701"/>
        </w:tabs>
        <w:spacing w:after="120" w:line="360" w:lineRule="auto"/>
        <w:rPr>
          <w:rFonts w:ascii="Arial" w:eastAsia="Arial" w:hAnsi="Arial" w:cs="Arial"/>
          <w:color w:val="010000"/>
          <w:sz w:val="20"/>
          <w:szCs w:val="20"/>
        </w:rPr>
      </w:pPr>
      <w:r w:rsidRPr="00C9604D">
        <w:rPr>
          <w:rFonts w:ascii="Arial" w:hAnsi="Arial" w:cs="Arial"/>
          <w:color w:val="010000"/>
          <w:sz w:val="20"/>
        </w:rPr>
        <w:t>Profit before tax: VND 671.313 million</w:t>
      </w:r>
    </w:p>
    <w:p w14:paraId="60E70AFE" w14:textId="77777777" w:rsidR="00C32871" w:rsidRPr="00C9604D" w:rsidRDefault="00C708ED" w:rsidP="00600CD6">
      <w:pPr>
        <w:numPr>
          <w:ilvl w:val="0"/>
          <w:numId w:val="6"/>
        </w:numPr>
        <w:pBdr>
          <w:top w:val="nil"/>
          <w:left w:val="nil"/>
          <w:bottom w:val="nil"/>
          <w:right w:val="nil"/>
          <w:between w:val="nil"/>
        </w:pBdr>
        <w:tabs>
          <w:tab w:val="left" w:pos="432"/>
          <w:tab w:val="left" w:pos="9701"/>
        </w:tabs>
        <w:spacing w:after="120" w:line="360" w:lineRule="auto"/>
        <w:rPr>
          <w:rFonts w:ascii="Arial" w:eastAsia="Arial" w:hAnsi="Arial" w:cs="Arial"/>
          <w:color w:val="010000"/>
          <w:sz w:val="20"/>
          <w:szCs w:val="20"/>
        </w:rPr>
      </w:pPr>
      <w:r w:rsidRPr="00C9604D">
        <w:rPr>
          <w:rFonts w:ascii="Arial" w:hAnsi="Arial" w:cs="Arial"/>
          <w:color w:val="010000"/>
          <w:sz w:val="20"/>
        </w:rPr>
        <w:t>Profit after tax: VND 524.65 million;</w:t>
      </w:r>
    </w:p>
    <w:p w14:paraId="1A9DADFC" w14:textId="77777777" w:rsidR="00C32871" w:rsidRPr="00C9604D" w:rsidRDefault="00C708ED" w:rsidP="00600CD6">
      <w:pPr>
        <w:numPr>
          <w:ilvl w:val="0"/>
          <w:numId w:val="6"/>
        </w:numPr>
        <w:pBdr>
          <w:top w:val="nil"/>
          <w:left w:val="nil"/>
          <w:bottom w:val="nil"/>
          <w:right w:val="nil"/>
          <w:between w:val="nil"/>
        </w:pBdr>
        <w:tabs>
          <w:tab w:val="left" w:pos="432"/>
          <w:tab w:val="left" w:pos="9701"/>
        </w:tabs>
        <w:spacing w:after="120" w:line="360" w:lineRule="auto"/>
        <w:rPr>
          <w:rFonts w:ascii="Arial" w:eastAsia="Arial" w:hAnsi="Arial" w:cs="Arial"/>
          <w:color w:val="010000"/>
          <w:sz w:val="20"/>
          <w:szCs w:val="20"/>
        </w:rPr>
      </w:pPr>
      <w:r w:rsidRPr="00C9604D">
        <w:rPr>
          <w:rFonts w:ascii="Arial" w:hAnsi="Arial" w:cs="Arial"/>
          <w:color w:val="010000"/>
          <w:sz w:val="20"/>
        </w:rPr>
        <w:t>Payables to the State budget: VND 2,147.665 million;</w:t>
      </w:r>
    </w:p>
    <w:p w14:paraId="2E284BC1" w14:textId="77777777" w:rsidR="00C32871" w:rsidRPr="00C9604D" w:rsidRDefault="00C708ED" w:rsidP="00600CD6">
      <w:pPr>
        <w:numPr>
          <w:ilvl w:val="0"/>
          <w:numId w:val="3"/>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9604D">
        <w:rPr>
          <w:rFonts w:ascii="Arial" w:hAnsi="Arial" w:cs="Arial"/>
          <w:color w:val="010000"/>
          <w:sz w:val="20"/>
        </w:rPr>
        <w:t>Production and business plan for 2024</w:t>
      </w:r>
    </w:p>
    <w:p w14:paraId="5AEEEF39" w14:textId="77777777" w:rsidR="00C32871" w:rsidRPr="00C9604D" w:rsidRDefault="004649D9" w:rsidP="00600CD6">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Packaging production output</w:t>
      </w:r>
      <w:r w:rsidR="00C708ED" w:rsidRPr="00C9604D">
        <w:rPr>
          <w:rFonts w:ascii="Arial" w:hAnsi="Arial" w:cs="Arial"/>
          <w:color w:val="010000"/>
          <w:sz w:val="20"/>
        </w:rPr>
        <w:t>: 23,000,000 bags</w:t>
      </w:r>
    </w:p>
    <w:p w14:paraId="1B5C3BD2" w14:textId="77777777" w:rsidR="00C32871" w:rsidRPr="00C9604D" w:rsidRDefault="004649D9" w:rsidP="00600CD6">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Packaging consumption</w:t>
      </w:r>
      <w:r w:rsidR="00C708ED" w:rsidRPr="00C9604D">
        <w:rPr>
          <w:rFonts w:ascii="Arial" w:hAnsi="Arial" w:cs="Arial"/>
          <w:color w:val="010000"/>
          <w:sz w:val="20"/>
        </w:rPr>
        <w:t>: 23,000,000 bags</w:t>
      </w:r>
    </w:p>
    <w:p w14:paraId="3C6FA029" w14:textId="77777777" w:rsidR="00C32871" w:rsidRPr="00C9604D" w:rsidRDefault="00C708ED" w:rsidP="00600CD6">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Total revenue: VND 120 billion</w:t>
      </w:r>
    </w:p>
    <w:p w14:paraId="21601991" w14:textId="77777777" w:rsidR="00C32871" w:rsidRPr="00C9604D" w:rsidRDefault="00C708ED" w:rsidP="00600CD6">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Profit before tax: VND 680 million;</w:t>
      </w:r>
    </w:p>
    <w:p w14:paraId="7EC18CE4" w14:textId="77777777" w:rsidR="00C32871" w:rsidRPr="00C9604D" w:rsidRDefault="00C708ED" w:rsidP="00600CD6">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Profit after tax: VND 529.6 million;</w:t>
      </w:r>
    </w:p>
    <w:p w14:paraId="6246F007" w14:textId="77777777" w:rsidR="00C32871" w:rsidRPr="00C9604D" w:rsidRDefault="00C708ED" w:rsidP="00600CD6">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Dividend payment rate: 2% of charter capital.</w:t>
      </w:r>
    </w:p>
    <w:p w14:paraId="56731748" w14:textId="47CACFD0" w:rsidR="00C32871" w:rsidRPr="00C9604D" w:rsidRDefault="00D7089C" w:rsidP="00600CD6">
      <w:pPr>
        <w:numPr>
          <w:ilvl w:val="0"/>
          <w:numId w:val="6"/>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P</w:t>
      </w:r>
      <w:r w:rsidR="00C708ED" w:rsidRPr="00C9604D">
        <w:rPr>
          <w:rFonts w:ascii="Arial" w:hAnsi="Arial" w:cs="Arial"/>
          <w:color w:val="010000"/>
          <w:sz w:val="20"/>
        </w:rPr>
        <w:t>ayable to State budget in accordance with current State regulations.</w:t>
      </w:r>
    </w:p>
    <w:p w14:paraId="1850FDB9" w14:textId="0914309B"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Article 2: Approve the Report on </w:t>
      </w:r>
      <w:r w:rsidR="00D7089C" w:rsidRPr="00C9604D">
        <w:rPr>
          <w:rFonts w:ascii="Arial" w:hAnsi="Arial" w:cs="Arial"/>
          <w:color w:val="010000"/>
          <w:sz w:val="20"/>
        </w:rPr>
        <w:t>operating</w:t>
      </w:r>
      <w:r w:rsidRPr="00C9604D">
        <w:rPr>
          <w:rFonts w:ascii="Arial" w:hAnsi="Arial" w:cs="Arial"/>
          <w:color w:val="010000"/>
          <w:sz w:val="20"/>
        </w:rPr>
        <w:t xml:space="preserve"> results of the Board of Directors in 2023 and the plan for 2024.</w:t>
      </w:r>
    </w:p>
    <w:p w14:paraId="76227081"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Article 3: Approve the Report on activities of the Supervisory Board in 2023 and the plan for 2024.</w:t>
      </w:r>
    </w:p>
    <w:p w14:paraId="2242FDF3"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Article 4: Approve the Audited Financial Statements 2023.</w:t>
      </w:r>
    </w:p>
    <w:p w14:paraId="7F151B21"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Article 5: Approve the selection of an audit company for the Financial Statements 2024.</w:t>
      </w:r>
    </w:p>
    <w:p w14:paraId="67BEC89B" w14:textId="237C2788"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Article 6: Approve the </w:t>
      </w:r>
      <w:r w:rsidR="00D7089C" w:rsidRPr="00C9604D">
        <w:rPr>
          <w:rFonts w:ascii="Arial" w:hAnsi="Arial" w:cs="Arial"/>
          <w:color w:val="010000"/>
          <w:sz w:val="20"/>
        </w:rPr>
        <w:t>p</w:t>
      </w:r>
      <w:r w:rsidRPr="00C9604D">
        <w:rPr>
          <w:rFonts w:ascii="Arial" w:hAnsi="Arial" w:cs="Arial"/>
          <w:color w:val="010000"/>
          <w:sz w:val="20"/>
        </w:rPr>
        <w:t>rofit distribution plan in 2023. Specifically as follows:</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3"/>
        <w:gridCol w:w="6056"/>
        <w:gridCol w:w="2188"/>
      </w:tblGrid>
      <w:tr w:rsidR="00C32871" w:rsidRPr="00C9604D" w14:paraId="0036A8A4" w14:textId="77777777" w:rsidTr="00600CD6">
        <w:tc>
          <w:tcPr>
            <w:tcW w:w="429" w:type="pct"/>
            <w:shd w:val="clear" w:color="auto" w:fill="auto"/>
            <w:tcMar>
              <w:top w:w="0" w:type="dxa"/>
              <w:bottom w:w="0" w:type="dxa"/>
            </w:tcMar>
            <w:vAlign w:val="center"/>
          </w:tcPr>
          <w:p w14:paraId="1D22D9D2"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No.</w:t>
            </w:r>
          </w:p>
        </w:tc>
        <w:tc>
          <w:tcPr>
            <w:tcW w:w="3358" w:type="pct"/>
            <w:shd w:val="clear" w:color="auto" w:fill="auto"/>
            <w:tcMar>
              <w:top w:w="0" w:type="dxa"/>
              <w:bottom w:w="0" w:type="dxa"/>
            </w:tcMar>
            <w:vAlign w:val="center"/>
          </w:tcPr>
          <w:p w14:paraId="5D0B1C43" w14:textId="6D055263"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Target</w:t>
            </w:r>
          </w:p>
        </w:tc>
        <w:tc>
          <w:tcPr>
            <w:tcW w:w="1213" w:type="pct"/>
            <w:shd w:val="clear" w:color="auto" w:fill="auto"/>
            <w:tcMar>
              <w:top w:w="0" w:type="dxa"/>
              <w:bottom w:w="0" w:type="dxa"/>
            </w:tcMar>
            <w:vAlign w:val="center"/>
          </w:tcPr>
          <w:p w14:paraId="0E48216A"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Value (Million VND)</w:t>
            </w:r>
          </w:p>
        </w:tc>
      </w:tr>
      <w:tr w:rsidR="00C32871" w:rsidRPr="00C9604D" w14:paraId="3D40BB3E" w14:textId="77777777" w:rsidTr="00600CD6">
        <w:tc>
          <w:tcPr>
            <w:tcW w:w="429" w:type="pct"/>
            <w:shd w:val="clear" w:color="auto" w:fill="auto"/>
            <w:tcMar>
              <w:top w:w="0" w:type="dxa"/>
              <w:bottom w:w="0" w:type="dxa"/>
            </w:tcMar>
            <w:vAlign w:val="center"/>
          </w:tcPr>
          <w:p w14:paraId="4BF059D8"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1</w:t>
            </w:r>
          </w:p>
        </w:tc>
        <w:tc>
          <w:tcPr>
            <w:tcW w:w="3358" w:type="pct"/>
            <w:shd w:val="clear" w:color="auto" w:fill="auto"/>
            <w:tcMar>
              <w:top w:w="0" w:type="dxa"/>
              <w:bottom w:w="0" w:type="dxa"/>
            </w:tcMar>
            <w:vAlign w:val="center"/>
          </w:tcPr>
          <w:p w14:paraId="5EB38B23"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Total distributable profit after tax in 2023</w:t>
            </w:r>
          </w:p>
        </w:tc>
        <w:tc>
          <w:tcPr>
            <w:tcW w:w="1213" w:type="pct"/>
            <w:shd w:val="clear" w:color="auto" w:fill="auto"/>
            <w:tcMar>
              <w:top w:w="0" w:type="dxa"/>
              <w:bottom w:w="0" w:type="dxa"/>
            </w:tcMar>
            <w:vAlign w:val="center"/>
          </w:tcPr>
          <w:p w14:paraId="28ED9382"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631.745</w:t>
            </w:r>
          </w:p>
        </w:tc>
      </w:tr>
      <w:tr w:rsidR="00C32871" w:rsidRPr="00C9604D" w14:paraId="07952E43" w14:textId="77777777" w:rsidTr="00600CD6">
        <w:tc>
          <w:tcPr>
            <w:tcW w:w="429" w:type="pct"/>
            <w:shd w:val="clear" w:color="auto" w:fill="auto"/>
            <w:tcMar>
              <w:top w:w="0" w:type="dxa"/>
              <w:bottom w:w="0" w:type="dxa"/>
            </w:tcMar>
            <w:vAlign w:val="center"/>
          </w:tcPr>
          <w:p w14:paraId="775C0B44"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1.1</w:t>
            </w:r>
          </w:p>
        </w:tc>
        <w:tc>
          <w:tcPr>
            <w:tcW w:w="3358" w:type="pct"/>
            <w:shd w:val="clear" w:color="auto" w:fill="auto"/>
            <w:tcMar>
              <w:top w:w="0" w:type="dxa"/>
              <w:bottom w:w="0" w:type="dxa"/>
            </w:tcMar>
            <w:vAlign w:val="center"/>
          </w:tcPr>
          <w:p w14:paraId="2129366D"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Undistributed profit after tax as of December 31, 2022</w:t>
            </w:r>
          </w:p>
        </w:tc>
        <w:tc>
          <w:tcPr>
            <w:tcW w:w="1213" w:type="pct"/>
            <w:shd w:val="clear" w:color="auto" w:fill="auto"/>
            <w:tcMar>
              <w:top w:w="0" w:type="dxa"/>
              <w:bottom w:w="0" w:type="dxa"/>
            </w:tcMar>
            <w:vAlign w:val="center"/>
          </w:tcPr>
          <w:p w14:paraId="4519BDDA"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107.095</w:t>
            </w:r>
          </w:p>
        </w:tc>
      </w:tr>
      <w:tr w:rsidR="00C32871" w:rsidRPr="00C9604D" w14:paraId="0827149F" w14:textId="77777777" w:rsidTr="00600CD6">
        <w:tc>
          <w:tcPr>
            <w:tcW w:w="429" w:type="pct"/>
            <w:shd w:val="clear" w:color="auto" w:fill="auto"/>
            <w:tcMar>
              <w:top w:w="0" w:type="dxa"/>
              <w:bottom w:w="0" w:type="dxa"/>
            </w:tcMar>
            <w:vAlign w:val="center"/>
          </w:tcPr>
          <w:p w14:paraId="011C808F"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lastRenderedPageBreak/>
              <w:t>1.2</w:t>
            </w:r>
          </w:p>
        </w:tc>
        <w:tc>
          <w:tcPr>
            <w:tcW w:w="3358" w:type="pct"/>
            <w:shd w:val="clear" w:color="auto" w:fill="auto"/>
            <w:tcMar>
              <w:top w:w="0" w:type="dxa"/>
              <w:bottom w:w="0" w:type="dxa"/>
            </w:tcMar>
            <w:vAlign w:val="center"/>
          </w:tcPr>
          <w:p w14:paraId="3D7C949D" w14:textId="53DCD691"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Profit after tax</w:t>
            </w:r>
            <w:r w:rsidR="00D7089C" w:rsidRPr="00C9604D">
              <w:rPr>
                <w:rFonts w:ascii="Arial" w:hAnsi="Arial" w:cs="Arial"/>
                <w:color w:val="010000"/>
                <w:sz w:val="20"/>
              </w:rPr>
              <w:t xml:space="preserve"> in</w:t>
            </w:r>
            <w:r w:rsidRPr="00C9604D">
              <w:rPr>
                <w:rFonts w:ascii="Arial" w:hAnsi="Arial" w:cs="Arial"/>
                <w:color w:val="010000"/>
                <w:sz w:val="20"/>
              </w:rPr>
              <w:t xml:space="preserve"> 2023</w:t>
            </w:r>
          </w:p>
        </w:tc>
        <w:tc>
          <w:tcPr>
            <w:tcW w:w="1213" w:type="pct"/>
            <w:shd w:val="clear" w:color="auto" w:fill="auto"/>
            <w:tcMar>
              <w:top w:w="0" w:type="dxa"/>
              <w:bottom w:w="0" w:type="dxa"/>
            </w:tcMar>
            <w:vAlign w:val="center"/>
          </w:tcPr>
          <w:p w14:paraId="6F5E1A62"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524.650</w:t>
            </w:r>
          </w:p>
        </w:tc>
      </w:tr>
      <w:tr w:rsidR="00C32871" w:rsidRPr="00C9604D" w14:paraId="6C590922" w14:textId="77777777" w:rsidTr="00600CD6">
        <w:tc>
          <w:tcPr>
            <w:tcW w:w="429" w:type="pct"/>
            <w:shd w:val="clear" w:color="auto" w:fill="auto"/>
            <w:tcMar>
              <w:top w:w="0" w:type="dxa"/>
              <w:bottom w:w="0" w:type="dxa"/>
            </w:tcMar>
            <w:vAlign w:val="center"/>
          </w:tcPr>
          <w:p w14:paraId="5E4EC458"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2.</w:t>
            </w:r>
          </w:p>
        </w:tc>
        <w:tc>
          <w:tcPr>
            <w:tcW w:w="3358" w:type="pct"/>
            <w:shd w:val="clear" w:color="auto" w:fill="auto"/>
            <w:tcMar>
              <w:top w:w="0" w:type="dxa"/>
              <w:bottom w:w="0" w:type="dxa"/>
            </w:tcMar>
            <w:vAlign w:val="center"/>
          </w:tcPr>
          <w:p w14:paraId="0ECF40BC"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Total distributed profit in 2023</w:t>
            </w:r>
          </w:p>
        </w:tc>
        <w:tc>
          <w:tcPr>
            <w:tcW w:w="1213" w:type="pct"/>
            <w:shd w:val="clear" w:color="auto" w:fill="auto"/>
            <w:tcMar>
              <w:top w:w="0" w:type="dxa"/>
              <w:bottom w:w="0" w:type="dxa"/>
            </w:tcMar>
            <w:vAlign w:val="center"/>
          </w:tcPr>
          <w:p w14:paraId="3FF31AD4"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609.586</w:t>
            </w:r>
          </w:p>
        </w:tc>
      </w:tr>
      <w:tr w:rsidR="00C32871" w:rsidRPr="00C9604D" w14:paraId="3F42F160" w14:textId="77777777" w:rsidTr="00600CD6">
        <w:tc>
          <w:tcPr>
            <w:tcW w:w="429" w:type="pct"/>
            <w:shd w:val="clear" w:color="auto" w:fill="auto"/>
            <w:tcMar>
              <w:top w:w="0" w:type="dxa"/>
              <w:bottom w:w="0" w:type="dxa"/>
            </w:tcMar>
            <w:vAlign w:val="center"/>
          </w:tcPr>
          <w:p w14:paraId="2EC0608D"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2.1</w:t>
            </w:r>
          </w:p>
        </w:tc>
        <w:tc>
          <w:tcPr>
            <w:tcW w:w="3358" w:type="pct"/>
            <w:shd w:val="clear" w:color="auto" w:fill="auto"/>
            <w:tcMar>
              <w:top w:w="0" w:type="dxa"/>
              <w:bottom w:w="0" w:type="dxa"/>
            </w:tcMar>
            <w:vAlign w:val="center"/>
          </w:tcPr>
          <w:p w14:paraId="2544DD29"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Dividend payment rate in 2023 (2% in cash)</w:t>
            </w:r>
          </w:p>
        </w:tc>
        <w:tc>
          <w:tcPr>
            <w:tcW w:w="1213" w:type="pct"/>
            <w:shd w:val="clear" w:color="auto" w:fill="auto"/>
            <w:tcMar>
              <w:top w:w="0" w:type="dxa"/>
              <w:bottom w:w="0" w:type="dxa"/>
            </w:tcMar>
            <w:vAlign w:val="center"/>
          </w:tcPr>
          <w:p w14:paraId="5DE542DD"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409.586</w:t>
            </w:r>
          </w:p>
        </w:tc>
      </w:tr>
      <w:tr w:rsidR="00C32871" w:rsidRPr="00C9604D" w14:paraId="471E7122" w14:textId="77777777" w:rsidTr="00600CD6">
        <w:tc>
          <w:tcPr>
            <w:tcW w:w="429" w:type="pct"/>
            <w:shd w:val="clear" w:color="auto" w:fill="auto"/>
            <w:tcMar>
              <w:top w:w="0" w:type="dxa"/>
              <w:bottom w:w="0" w:type="dxa"/>
            </w:tcMar>
            <w:vAlign w:val="center"/>
          </w:tcPr>
          <w:p w14:paraId="0632C898"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2.2</w:t>
            </w:r>
          </w:p>
        </w:tc>
        <w:tc>
          <w:tcPr>
            <w:tcW w:w="3358" w:type="pct"/>
            <w:shd w:val="clear" w:color="auto" w:fill="auto"/>
            <w:tcMar>
              <w:top w:w="0" w:type="dxa"/>
              <w:bottom w:w="0" w:type="dxa"/>
            </w:tcMar>
            <w:vAlign w:val="center"/>
          </w:tcPr>
          <w:p w14:paraId="65462517"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Appropriation for bonus and welfare fund</w:t>
            </w:r>
          </w:p>
        </w:tc>
        <w:tc>
          <w:tcPr>
            <w:tcW w:w="1213" w:type="pct"/>
            <w:shd w:val="clear" w:color="auto" w:fill="auto"/>
            <w:tcMar>
              <w:top w:w="0" w:type="dxa"/>
              <w:bottom w:w="0" w:type="dxa"/>
            </w:tcMar>
            <w:vAlign w:val="center"/>
          </w:tcPr>
          <w:p w14:paraId="4F09D432"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200.0</w:t>
            </w:r>
          </w:p>
        </w:tc>
      </w:tr>
      <w:tr w:rsidR="00C32871" w:rsidRPr="00C9604D" w14:paraId="4CF1F071" w14:textId="77777777" w:rsidTr="00600CD6">
        <w:tc>
          <w:tcPr>
            <w:tcW w:w="429" w:type="pct"/>
            <w:shd w:val="clear" w:color="auto" w:fill="auto"/>
            <w:tcMar>
              <w:top w:w="0" w:type="dxa"/>
              <w:bottom w:w="0" w:type="dxa"/>
            </w:tcMar>
            <w:vAlign w:val="center"/>
          </w:tcPr>
          <w:p w14:paraId="75E6FF90"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3</w:t>
            </w:r>
          </w:p>
        </w:tc>
        <w:tc>
          <w:tcPr>
            <w:tcW w:w="3358" w:type="pct"/>
            <w:shd w:val="clear" w:color="auto" w:fill="auto"/>
            <w:tcMar>
              <w:top w:w="0" w:type="dxa"/>
              <w:bottom w:w="0" w:type="dxa"/>
            </w:tcMar>
            <w:vAlign w:val="center"/>
          </w:tcPr>
          <w:p w14:paraId="39E72BD4"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Total remaining undistributed profit</w:t>
            </w:r>
          </w:p>
        </w:tc>
        <w:tc>
          <w:tcPr>
            <w:tcW w:w="1213" w:type="pct"/>
            <w:shd w:val="clear" w:color="auto" w:fill="auto"/>
            <w:tcMar>
              <w:top w:w="0" w:type="dxa"/>
              <w:bottom w:w="0" w:type="dxa"/>
            </w:tcMar>
            <w:vAlign w:val="center"/>
          </w:tcPr>
          <w:p w14:paraId="748928DF" w14:textId="77777777" w:rsidR="00C32871" w:rsidRPr="00C9604D" w:rsidRDefault="00C708ED" w:rsidP="00600CD6">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C9604D">
              <w:rPr>
                <w:rFonts w:ascii="Arial" w:hAnsi="Arial" w:cs="Arial"/>
                <w:color w:val="010000"/>
                <w:sz w:val="20"/>
              </w:rPr>
              <w:t>22.159</w:t>
            </w:r>
          </w:p>
        </w:tc>
      </w:tr>
    </w:tbl>
    <w:p w14:paraId="78A1FB96"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Article 7: Approve the plan on dividend payment in 2023 in cash.</w:t>
      </w:r>
    </w:p>
    <w:p w14:paraId="793D8FD7" w14:textId="7BD486E1" w:rsidR="00C32871" w:rsidRPr="00C9604D" w:rsidRDefault="00C708ED" w:rsidP="00600CD6">
      <w:pPr>
        <w:numPr>
          <w:ilvl w:val="0"/>
          <w:numId w:val="4"/>
        </w:numPr>
        <w:pBdr>
          <w:top w:val="nil"/>
          <w:left w:val="nil"/>
          <w:bottom w:val="nil"/>
          <w:right w:val="nil"/>
          <w:between w:val="nil"/>
        </w:pBdr>
        <w:tabs>
          <w:tab w:val="left" w:pos="432"/>
          <w:tab w:val="left" w:pos="1291"/>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Dividend payment </w:t>
      </w:r>
      <w:r w:rsidR="00D7089C" w:rsidRPr="00C9604D">
        <w:rPr>
          <w:rFonts w:ascii="Arial" w:hAnsi="Arial" w:cs="Arial"/>
          <w:color w:val="010000"/>
          <w:sz w:val="20"/>
        </w:rPr>
        <w:t>form</w:t>
      </w:r>
      <w:r w:rsidRPr="00C9604D">
        <w:rPr>
          <w:rFonts w:ascii="Arial" w:hAnsi="Arial" w:cs="Arial"/>
          <w:color w:val="010000"/>
          <w:sz w:val="20"/>
        </w:rPr>
        <w:t>: In cash (VND)</w:t>
      </w:r>
    </w:p>
    <w:p w14:paraId="49C4301A" w14:textId="77777777" w:rsidR="00C32871" w:rsidRPr="00C9604D" w:rsidRDefault="00C708ED" w:rsidP="00600CD6">
      <w:pPr>
        <w:numPr>
          <w:ilvl w:val="0"/>
          <w:numId w:val="4"/>
        </w:numPr>
        <w:pBdr>
          <w:top w:val="nil"/>
          <w:left w:val="nil"/>
          <w:bottom w:val="nil"/>
          <w:right w:val="nil"/>
          <w:between w:val="nil"/>
        </w:pBdr>
        <w:tabs>
          <w:tab w:val="left" w:pos="432"/>
          <w:tab w:val="left" w:pos="1351"/>
        </w:tabs>
        <w:spacing w:after="120" w:line="360" w:lineRule="auto"/>
        <w:rPr>
          <w:rFonts w:ascii="Arial" w:eastAsia="Arial" w:hAnsi="Arial" w:cs="Arial"/>
          <w:color w:val="010000"/>
          <w:sz w:val="20"/>
          <w:szCs w:val="20"/>
        </w:rPr>
      </w:pPr>
      <w:r w:rsidRPr="00C9604D">
        <w:rPr>
          <w:rFonts w:ascii="Arial" w:hAnsi="Arial" w:cs="Arial"/>
          <w:color w:val="010000"/>
          <w:sz w:val="20"/>
        </w:rPr>
        <w:t>Dividend payment rate: 2% o</w:t>
      </w:r>
      <w:r w:rsidR="004649D9" w:rsidRPr="00C9604D">
        <w:rPr>
          <w:rFonts w:ascii="Arial" w:hAnsi="Arial" w:cs="Arial"/>
          <w:color w:val="010000"/>
          <w:sz w:val="20"/>
        </w:rPr>
        <w:t>f par value (for each common share, shareholders</w:t>
      </w:r>
      <w:r w:rsidRPr="00C9604D">
        <w:rPr>
          <w:rFonts w:ascii="Arial" w:hAnsi="Arial" w:cs="Arial"/>
          <w:color w:val="010000"/>
          <w:sz w:val="20"/>
        </w:rPr>
        <w:t xml:space="preserve"> will receive VND 200)</w:t>
      </w:r>
    </w:p>
    <w:p w14:paraId="06763F2C" w14:textId="203CB96C" w:rsidR="00C32871" w:rsidRPr="00C9604D" w:rsidRDefault="00C708ED" w:rsidP="00600CD6">
      <w:pPr>
        <w:numPr>
          <w:ilvl w:val="0"/>
          <w:numId w:val="4"/>
        </w:numPr>
        <w:pBdr>
          <w:top w:val="nil"/>
          <w:left w:val="nil"/>
          <w:bottom w:val="nil"/>
          <w:right w:val="nil"/>
          <w:between w:val="nil"/>
        </w:pBdr>
        <w:tabs>
          <w:tab w:val="left" w:pos="432"/>
          <w:tab w:val="left" w:pos="1358"/>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Dividend recipients: Existing shareholders named on the list of shareholders of the Company at the record date for the list of shareholders to exercise </w:t>
      </w:r>
      <w:r w:rsidR="00D7089C" w:rsidRPr="00C9604D">
        <w:rPr>
          <w:rFonts w:ascii="Arial" w:hAnsi="Arial" w:cs="Arial"/>
          <w:color w:val="010000"/>
          <w:sz w:val="20"/>
        </w:rPr>
        <w:t xml:space="preserve">the </w:t>
      </w:r>
      <w:r w:rsidRPr="00C9604D">
        <w:rPr>
          <w:rFonts w:ascii="Arial" w:hAnsi="Arial" w:cs="Arial"/>
          <w:color w:val="010000"/>
          <w:sz w:val="20"/>
        </w:rPr>
        <w:t>rights.</w:t>
      </w:r>
    </w:p>
    <w:p w14:paraId="016239C7" w14:textId="54A2329C" w:rsidR="00C32871" w:rsidRPr="00C9604D" w:rsidRDefault="00C708ED" w:rsidP="00600CD6">
      <w:pPr>
        <w:numPr>
          <w:ilvl w:val="0"/>
          <w:numId w:val="4"/>
        </w:numPr>
        <w:pBdr>
          <w:top w:val="nil"/>
          <w:left w:val="nil"/>
          <w:bottom w:val="nil"/>
          <w:right w:val="nil"/>
          <w:between w:val="nil"/>
        </w:pBdr>
        <w:tabs>
          <w:tab w:val="left" w:pos="432"/>
          <w:tab w:val="left" w:pos="1320"/>
        </w:tabs>
        <w:spacing w:after="120" w:line="360" w:lineRule="auto"/>
        <w:rPr>
          <w:rFonts w:ascii="Arial" w:eastAsia="Arial" w:hAnsi="Arial" w:cs="Arial"/>
          <w:color w:val="010000"/>
          <w:sz w:val="20"/>
          <w:szCs w:val="20"/>
        </w:rPr>
      </w:pPr>
      <w:r w:rsidRPr="00C9604D">
        <w:rPr>
          <w:rFonts w:ascii="Arial" w:hAnsi="Arial" w:cs="Arial"/>
          <w:color w:val="010000"/>
          <w:sz w:val="20"/>
        </w:rPr>
        <w:t>Dividend payment source: From the undistributed profit after tax in 2023:</w:t>
      </w:r>
    </w:p>
    <w:p w14:paraId="304F4303" w14:textId="77777777" w:rsidR="00C32871" w:rsidRPr="00C9604D" w:rsidRDefault="00C708ED" w:rsidP="00600CD6">
      <w:pPr>
        <w:numPr>
          <w:ilvl w:val="0"/>
          <w:numId w:val="4"/>
        </w:numPr>
        <w:pBdr>
          <w:top w:val="nil"/>
          <w:left w:val="nil"/>
          <w:bottom w:val="nil"/>
          <w:right w:val="nil"/>
          <w:between w:val="nil"/>
        </w:pBdr>
        <w:tabs>
          <w:tab w:val="left" w:pos="432"/>
          <w:tab w:val="left" w:pos="1320"/>
        </w:tabs>
        <w:spacing w:after="120" w:line="360" w:lineRule="auto"/>
        <w:rPr>
          <w:rFonts w:ascii="Arial" w:eastAsia="Arial" w:hAnsi="Arial" w:cs="Arial"/>
          <w:color w:val="010000"/>
          <w:sz w:val="20"/>
          <w:szCs w:val="20"/>
        </w:rPr>
      </w:pPr>
      <w:r w:rsidRPr="00C9604D">
        <w:rPr>
          <w:rFonts w:ascii="Arial" w:hAnsi="Arial" w:cs="Arial"/>
          <w:color w:val="010000"/>
          <w:sz w:val="20"/>
        </w:rPr>
        <w:t>Payment method:</w:t>
      </w:r>
    </w:p>
    <w:p w14:paraId="6BCA9B03" w14:textId="77777777" w:rsidR="00C32871" w:rsidRPr="00C9604D" w:rsidRDefault="00C708ED" w:rsidP="00600CD6">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9604D">
        <w:rPr>
          <w:rFonts w:ascii="Arial" w:hAnsi="Arial" w:cs="Arial"/>
          <w:color w:val="010000"/>
          <w:sz w:val="20"/>
        </w:rPr>
        <w:t>For deposited securities: Owners implement the procedures to receive dividends at the Depository Members where depository accounts are opened.</w:t>
      </w:r>
    </w:p>
    <w:p w14:paraId="56A9AE06" w14:textId="1812FF78" w:rsidR="00C32871" w:rsidRPr="00C9604D" w:rsidRDefault="00C708ED" w:rsidP="00600CD6">
      <w:pPr>
        <w:numPr>
          <w:ilvl w:val="0"/>
          <w:numId w:val="5"/>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9604D">
        <w:rPr>
          <w:rFonts w:ascii="Arial" w:hAnsi="Arial" w:cs="Arial"/>
          <w:color w:val="010000"/>
          <w:sz w:val="20"/>
        </w:rPr>
        <w:t>For undeposited securities: Owners implement the procedures to receive dividends at the Finance and Accounting Department of Hoang Thach Bagging Joint Stock Company, Minh Tan Ward, Kinh Mon Commune, Hai Duong Province, or provide account</w:t>
      </w:r>
      <w:r w:rsidR="00D7089C" w:rsidRPr="00C9604D">
        <w:rPr>
          <w:rFonts w:ascii="Arial" w:hAnsi="Arial" w:cs="Arial"/>
          <w:color w:val="010000"/>
          <w:sz w:val="20"/>
        </w:rPr>
        <w:t xml:space="preserve">s </w:t>
      </w:r>
      <w:r w:rsidRPr="00C9604D">
        <w:rPr>
          <w:rFonts w:ascii="Arial" w:hAnsi="Arial" w:cs="Arial"/>
          <w:color w:val="010000"/>
          <w:sz w:val="20"/>
        </w:rPr>
        <w:t>to receive by transferring.</w:t>
      </w:r>
    </w:p>
    <w:p w14:paraId="4685FC03" w14:textId="77777777" w:rsidR="00C32871" w:rsidRPr="00C9604D" w:rsidRDefault="00C708ED" w:rsidP="00600CD6">
      <w:pPr>
        <w:numPr>
          <w:ilvl w:val="0"/>
          <w:numId w:val="4"/>
        </w:numPr>
        <w:pBdr>
          <w:top w:val="nil"/>
          <w:left w:val="nil"/>
          <w:bottom w:val="nil"/>
          <w:right w:val="nil"/>
          <w:between w:val="nil"/>
        </w:pBdr>
        <w:tabs>
          <w:tab w:val="left" w:pos="432"/>
          <w:tab w:val="left" w:pos="1355"/>
        </w:tabs>
        <w:spacing w:after="120" w:line="360" w:lineRule="auto"/>
        <w:rPr>
          <w:rFonts w:ascii="Arial" w:eastAsia="Arial" w:hAnsi="Arial" w:cs="Arial"/>
          <w:color w:val="010000"/>
          <w:sz w:val="20"/>
          <w:szCs w:val="20"/>
        </w:rPr>
      </w:pPr>
      <w:r w:rsidRPr="00C9604D">
        <w:rPr>
          <w:rFonts w:ascii="Arial" w:hAnsi="Arial" w:cs="Arial"/>
          <w:color w:val="010000"/>
          <w:sz w:val="20"/>
        </w:rPr>
        <w:t>Payment time: The Board of Directors selects an appropriate payment time according to the regulations.</w:t>
      </w:r>
    </w:p>
    <w:p w14:paraId="1D21E525"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The General Meeting of Shareholders assigns the Board of Directors to implement relevant necessary procedures to complete the plan on dividend payment in cash to ensure the interests of shareholders. </w:t>
      </w:r>
    </w:p>
    <w:p w14:paraId="38607F0E" w14:textId="1C840F7E"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Article 8: Approve the </w:t>
      </w:r>
      <w:r w:rsidR="00D7089C" w:rsidRPr="00C9604D">
        <w:rPr>
          <w:rFonts w:ascii="Arial" w:hAnsi="Arial" w:cs="Arial"/>
          <w:color w:val="010000"/>
          <w:sz w:val="20"/>
        </w:rPr>
        <w:t>R</w:t>
      </w:r>
      <w:r w:rsidRPr="00C9604D">
        <w:rPr>
          <w:rFonts w:ascii="Arial" w:hAnsi="Arial" w:cs="Arial"/>
          <w:color w:val="010000"/>
          <w:sz w:val="20"/>
        </w:rPr>
        <w:t xml:space="preserve">eport on remuneration payment for the Board of Directors, the Supervisory Board, the Secretariat of the Company, </w:t>
      </w:r>
      <w:r w:rsidR="002515C6" w:rsidRPr="00C9604D">
        <w:rPr>
          <w:rFonts w:ascii="Arial" w:hAnsi="Arial" w:cs="Arial"/>
          <w:color w:val="010000"/>
          <w:sz w:val="20"/>
        </w:rPr>
        <w:t xml:space="preserve">and </w:t>
      </w:r>
      <w:r w:rsidRPr="00C9604D">
        <w:rPr>
          <w:rFonts w:ascii="Arial" w:hAnsi="Arial" w:cs="Arial"/>
          <w:color w:val="010000"/>
          <w:sz w:val="20"/>
        </w:rPr>
        <w:t>salary of the Chair of the Board of Directors</w:t>
      </w:r>
      <w:r w:rsidR="00C9604D" w:rsidRPr="00C9604D">
        <w:rPr>
          <w:rFonts w:ascii="Arial" w:hAnsi="Arial" w:cs="Arial"/>
          <w:color w:val="010000"/>
          <w:sz w:val="20"/>
        </w:rPr>
        <w:t xml:space="preserve"> and</w:t>
      </w:r>
      <w:r w:rsidRPr="00C9604D">
        <w:rPr>
          <w:rFonts w:ascii="Arial" w:hAnsi="Arial" w:cs="Arial"/>
          <w:color w:val="010000"/>
          <w:sz w:val="20"/>
        </w:rPr>
        <w:t xml:space="preserve"> the Chief of the Supervisory Board of the Company in 2023.</w:t>
      </w:r>
    </w:p>
    <w:p w14:paraId="68F701EB" w14:textId="11531A29" w:rsidR="00C32871" w:rsidRPr="00C9604D" w:rsidRDefault="00C708ED" w:rsidP="00600CD6">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Chair of the Board of Directors (non-executive): VND 6,000,000/person/month.</w:t>
      </w:r>
    </w:p>
    <w:p w14:paraId="6711794C" w14:textId="77777777" w:rsidR="00C32871" w:rsidRPr="00C9604D" w:rsidRDefault="00C708ED" w:rsidP="00600CD6">
      <w:pPr>
        <w:numPr>
          <w:ilvl w:val="0"/>
          <w:numId w:val="1"/>
        </w:numPr>
        <w:pBdr>
          <w:top w:val="nil"/>
          <w:left w:val="nil"/>
          <w:bottom w:val="nil"/>
          <w:right w:val="nil"/>
          <w:between w:val="nil"/>
        </w:pBdr>
        <w:tabs>
          <w:tab w:val="left" w:pos="432"/>
          <w:tab w:val="left" w:pos="1105"/>
        </w:tabs>
        <w:spacing w:after="120" w:line="360" w:lineRule="auto"/>
        <w:rPr>
          <w:rFonts w:ascii="Arial" w:eastAsia="Arial" w:hAnsi="Arial" w:cs="Arial"/>
          <w:color w:val="010000"/>
          <w:sz w:val="20"/>
          <w:szCs w:val="20"/>
        </w:rPr>
      </w:pPr>
      <w:r w:rsidRPr="00C9604D">
        <w:rPr>
          <w:rFonts w:ascii="Arial" w:hAnsi="Arial" w:cs="Arial"/>
          <w:color w:val="010000"/>
          <w:sz w:val="20"/>
        </w:rPr>
        <w:t>Members of the Board of Directors: VND 4,000,000/person/month.</w:t>
      </w:r>
    </w:p>
    <w:p w14:paraId="24674C27" w14:textId="357ADF0F" w:rsidR="00C32871" w:rsidRPr="00C9604D" w:rsidRDefault="00C708ED" w:rsidP="00600CD6">
      <w:pPr>
        <w:numPr>
          <w:ilvl w:val="0"/>
          <w:numId w:val="1"/>
        </w:numPr>
        <w:pBdr>
          <w:top w:val="nil"/>
          <w:left w:val="nil"/>
          <w:bottom w:val="nil"/>
          <w:right w:val="nil"/>
          <w:between w:val="nil"/>
        </w:pBdr>
        <w:tabs>
          <w:tab w:val="left" w:pos="432"/>
          <w:tab w:val="left" w:pos="1105"/>
        </w:tabs>
        <w:spacing w:after="120" w:line="360" w:lineRule="auto"/>
        <w:rPr>
          <w:rFonts w:ascii="Arial" w:eastAsia="Arial" w:hAnsi="Arial" w:cs="Arial"/>
          <w:color w:val="010000"/>
          <w:sz w:val="20"/>
          <w:szCs w:val="20"/>
        </w:rPr>
      </w:pPr>
      <w:r w:rsidRPr="00C9604D">
        <w:rPr>
          <w:rFonts w:ascii="Arial" w:hAnsi="Arial" w:cs="Arial"/>
          <w:color w:val="010000"/>
          <w:sz w:val="20"/>
        </w:rPr>
        <w:t>Members of the Supervisory Board</w:t>
      </w:r>
      <w:r w:rsidR="00C9604D" w:rsidRPr="00C9604D">
        <w:rPr>
          <w:rFonts w:ascii="Arial" w:hAnsi="Arial" w:cs="Arial"/>
          <w:color w:val="010000"/>
          <w:sz w:val="20"/>
        </w:rPr>
        <w:t xml:space="preserve"> and</w:t>
      </w:r>
      <w:r w:rsidRPr="00C9604D">
        <w:rPr>
          <w:rFonts w:ascii="Arial" w:hAnsi="Arial" w:cs="Arial"/>
          <w:color w:val="010000"/>
          <w:sz w:val="20"/>
        </w:rPr>
        <w:t xml:space="preserve"> the Secretariat: VND 3,000,000/person/month.</w:t>
      </w:r>
    </w:p>
    <w:p w14:paraId="29E12B18" w14:textId="73524A29" w:rsidR="00C32871" w:rsidRPr="00C9604D" w:rsidRDefault="00C708ED" w:rsidP="00600CD6">
      <w:pPr>
        <w:numPr>
          <w:ilvl w:val="0"/>
          <w:numId w:val="1"/>
        </w:numPr>
        <w:pBdr>
          <w:top w:val="nil"/>
          <w:left w:val="nil"/>
          <w:bottom w:val="nil"/>
          <w:right w:val="nil"/>
          <w:between w:val="nil"/>
        </w:pBdr>
        <w:tabs>
          <w:tab w:val="left" w:pos="432"/>
          <w:tab w:val="left" w:pos="1105"/>
        </w:tabs>
        <w:spacing w:after="120" w:line="360" w:lineRule="auto"/>
        <w:rPr>
          <w:rFonts w:ascii="Arial" w:eastAsia="Arial" w:hAnsi="Arial" w:cs="Arial"/>
          <w:color w:val="010000"/>
          <w:sz w:val="20"/>
          <w:szCs w:val="20"/>
        </w:rPr>
      </w:pPr>
      <w:r w:rsidRPr="00C9604D">
        <w:rPr>
          <w:rFonts w:ascii="Arial" w:hAnsi="Arial" w:cs="Arial"/>
          <w:color w:val="010000"/>
          <w:sz w:val="20"/>
        </w:rPr>
        <w:t>Executive Chair of the Board of Directors</w:t>
      </w:r>
      <w:r w:rsidR="00C9604D" w:rsidRPr="00C9604D">
        <w:rPr>
          <w:rFonts w:ascii="Arial" w:hAnsi="Arial" w:cs="Arial"/>
          <w:color w:val="010000"/>
          <w:sz w:val="20"/>
        </w:rPr>
        <w:t xml:space="preserve"> and </w:t>
      </w:r>
      <w:r w:rsidRPr="00C9604D">
        <w:rPr>
          <w:rFonts w:ascii="Arial" w:hAnsi="Arial" w:cs="Arial"/>
          <w:color w:val="010000"/>
          <w:sz w:val="20"/>
        </w:rPr>
        <w:t>Chi</w:t>
      </w:r>
      <w:r w:rsidR="002515C6" w:rsidRPr="00C9604D">
        <w:rPr>
          <w:rFonts w:ascii="Arial" w:hAnsi="Arial" w:cs="Arial"/>
          <w:color w:val="010000"/>
          <w:sz w:val="20"/>
        </w:rPr>
        <w:t xml:space="preserve">ef of the Supervisory Board: </w:t>
      </w:r>
      <w:r w:rsidR="00C9604D" w:rsidRPr="00C9604D">
        <w:rPr>
          <w:rFonts w:ascii="Arial" w:hAnsi="Arial" w:cs="Arial"/>
          <w:color w:val="010000"/>
          <w:sz w:val="20"/>
        </w:rPr>
        <w:t>P</w:t>
      </w:r>
      <w:r w:rsidR="002515C6" w:rsidRPr="00C9604D">
        <w:rPr>
          <w:rFonts w:ascii="Arial" w:hAnsi="Arial" w:cs="Arial"/>
          <w:color w:val="010000"/>
          <w:sz w:val="20"/>
        </w:rPr>
        <w:t>ay salary</w:t>
      </w:r>
      <w:r w:rsidRPr="00C9604D">
        <w:rPr>
          <w:rFonts w:ascii="Arial" w:hAnsi="Arial" w:cs="Arial"/>
          <w:color w:val="010000"/>
          <w:sz w:val="20"/>
        </w:rPr>
        <w:t xml:space="preserve"> according to the regulations on salary payment of the Company associated with the production and business results.</w:t>
      </w:r>
    </w:p>
    <w:p w14:paraId="3E3EF0AA" w14:textId="188293B4"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Article 9: Approve the plan on remuneration payment plan for the Board of Directors, the Supervisory Board</w:t>
      </w:r>
      <w:r w:rsidR="00C9604D" w:rsidRPr="00C9604D">
        <w:rPr>
          <w:rFonts w:ascii="Arial" w:hAnsi="Arial" w:cs="Arial"/>
          <w:color w:val="010000"/>
          <w:sz w:val="20"/>
        </w:rPr>
        <w:t xml:space="preserve"> and</w:t>
      </w:r>
      <w:r w:rsidRPr="00C9604D">
        <w:rPr>
          <w:rFonts w:ascii="Arial" w:hAnsi="Arial" w:cs="Arial"/>
          <w:color w:val="010000"/>
          <w:sz w:val="20"/>
        </w:rPr>
        <w:t xml:space="preserve"> the Chief of the Supervisor Board of the Company for 2024</w:t>
      </w:r>
      <w:r w:rsidR="00600CD6" w:rsidRPr="00C9604D">
        <w:rPr>
          <w:rFonts w:ascii="Arial" w:hAnsi="Arial" w:cs="Arial"/>
          <w:color w:val="010000"/>
          <w:sz w:val="20"/>
        </w:rPr>
        <w:t xml:space="preserve"> </w:t>
      </w:r>
    </w:p>
    <w:p w14:paraId="0FA38566" w14:textId="64692FAA" w:rsidR="00C32871" w:rsidRPr="00C9604D" w:rsidRDefault="00C708ED" w:rsidP="00600CD6">
      <w:pPr>
        <w:numPr>
          <w:ilvl w:val="0"/>
          <w:numId w:val="1"/>
        </w:num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lastRenderedPageBreak/>
        <w:t>Chair of the Board of Directors (non-executive): VND 6,000,000/person/month.</w:t>
      </w:r>
    </w:p>
    <w:p w14:paraId="0F415327" w14:textId="77777777" w:rsidR="00C32871" w:rsidRPr="00C9604D" w:rsidRDefault="00C708ED" w:rsidP="00600CD6">
      <w:pPr>
        <w:numPr>
          <w:ilvl w:val="0"/>
          <w:numId w:val="1"/>
        </w:numPr>
        <w:pBdr>
          <w:top w:val="nil"/>
          <w:left w:val="nil"/>
          <w:bottom w:val="nil"/>
          <w:right w:val="nil"/>
          <w:between w:val="nil"/>
        </w:pBdr>
        <w:tabs>
          <w:tab w:val="left" w:pos="432"/>
          <w:tab w:val="left" w:pos="1105"/>
        </w:tabs>
        <w:spacing w:after="120" w:line="360" w:lineRule="auto"/>
        <w:rPr>
          <w:rFonts w:ascii="Arial" w:eastAsia="Arial" w:hAnsi="Arial" w:cs="Arial"/>
          <w:color w:val="010000"/>
          <w:sz w:val="20"/>
          <w:szCs w:val="20"/>
        </w:rPr>
      </w:pPr>
      <w:r w:rsidRPr="00C9604D">
        <w:rPr>
          <w:rFonts w:ascii="Arial" w:hAnsi="Arial" w:cs="Arial"/>
          <w:color w:val="010000"/>
          <w:sz w:val="20"/>
        </w:rPr>
        <w:t>Members of the Board of Directors: VND 4,000,000/person/month.</w:t>
      </w:r>
    </w:p>
    <w:p w14:paraId="581FC261" w14:textId="77777777" w:rsidR="00C32871" w:rsidRPr="00C9604D" w:rsidRDefault="00C708ED" w:rsidP="00600CD6">
      <w:pPr>
        <w:numPr>
          <w:ilvl w:val="0"/>
          <w:numId w:val="1"/>
        </w:numPr>
        <w:pBdr>
          <w:top w:val="nil"/>
          <w:left w:val="nil"/>
          <w:bottom w:val="nil"/>
          <w:right w:val="nil"/>
          <w:between w:val="nil"/>
        </w:pBdr>
        <w:tabs>
          <w:tab w:val="left" w:pos="432"/>
          <w:tab w:val="left" w:pos="1105"/>
        </w:tabs>
        <w:spacing w:after="120" w:line="360" w:lineRule="auto"/>
        <w:rPr>
          <w:rFonts w:ascii="Arial" w:eastAsia="Arial" w:hAnsi="Arial" w:cs="Arial"/>
          <w:color w:val="010000"/>
          <w:sz w:val="20"/>
          <w:szCs w:val="20"/>
        </w:rPr>
      </w:pPr>
      <w:r w:rsidRPr="00C9604D">
        <w:rPr>
          <w:rFonts w:ascii="Arial" w:hAnsi="Arial" w:cs="Arial"/>
          <w:color w:val="010000"/>
          <w:sz w:val="20"/>
        </w:rPr>
        <w:t>Members of the Supervisory Board, the Company's Secretariat: VND 3,000,000/person/month.</w:t>
      </w:r>
    </w:p>
    <w:p w14:paraId="5570DA74" w14:textId="32566D57" w:rsidR="00C32871" w:rsidRPr="00C9604D" w:rsidRDefault="00C708ED" w:rsidP="00600CD6">
      <w:pPr>
        <w:numPr>
          <w:ilvl w:val="0"/>
          <w:numId w:val="1"/>
        </w:numPr>
        <w:pBdr>
          <w:top w:val="nil"/>
          <w:left w:val="nil"/>
          <w:bottom w:val="nil"/>
          <w:right w:val="nil"/>
          <w:between w:val="nil"/>
        </w:pBdr>
        <w:tabs>
          <w:tab w:val="left" w:pos="432"/>
          <w:tab w:val="left" w:pos="1105"/>
        </w:tabs>
        <w:spacing w:after="120" w:line="360" w:lineRule="auto"/>
        <w:rPr>
          <w:rFonts w:ascii="Arial" w:eastAsia="Arial" w:hAnsi="Arial" w:cs="Arial"/>
          <w:color w:val="010000"/>
          <w:sz w:val="20"/>
          <w:szCs w:val="20"/>
        </w:rPr>
      </w:pPr>
      <w:r w:rsidRPr="00C9604D">
        <w:rPr>
          <w:rFonts w:ascii="Arial" w:hAnsi="Arial" w:cs="Arial"/>
          <w:color w:val="010000"/>
          <w:sz w:val="20"/>
        </w:rPr>
        <w:t>Chief of the Supervisory Board: Pay salary according to the regulations on salary payment of the Company associated with the production and business results.</w:t>
      </w:r>
    </w:p>
    <w:p w14:paraId="65797E76"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Article 10: Approve the expected profit distribution plan for 2024. Specifically as follows:</w:t>
      </w:r>
    </w:p>
    <w:p w14:paraId="00F56B68" w14:textId="24F4BEDF"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Expected profit before tax according to the plan is VND 680 million after payment to the State budget</w:t>
      </w:r>
      <w:r w:rsidR="00C9604D" w:rsidRPr="00C9604D">
        <w:rPr>
          <w:rFonts w:ascii="Arial" w:hAnsi="Arial" w:cs="Arial"/>
          <w:color w:val="010000"/>
          <w:sz w:val="20"/>
        </w:rPr>
        <w:t>.</w:t>
      </w:r>
      <w:r w:rsidRPr="00C9604D">
        <w:rPr>
          <w:rFonts w:ascii="Arial" w:hAnsi="Arial" w:cs="Arial"/>
          <w:color w:val="010000"/>
          <w:sz w:val="20"/>
        </w:rPr>
        <w:t xml:space="preserve"> </w:t>
      </w:r>
      <w:r w:rsidR="00C9604D" w:rsidRPr="00C9604D">
        <w:rPr>
          <w:rFonts w:ascii="Arial" w:hAnsi="Arial" w:cs="Arial"/>
          <w:color w:val="010000"/>
          <w:sz w:val="20"/>
        </w:rPr>
        <w:t>T</w:t>
      </w:r>
      <w:r w:rsidRPr="00C9604D">
        <w:rPr>
          <w:rFonts w:ascii="Arial" w:hAnsi="Arial" w:cs="Arial"/>
          <w:color w:val="010000"/>
          <w:sz w:val="20"/>
        </w:rPr>
        <w:t>he Board of Directors submits to the General Meeting of Shareholders the expected dividend payment and appropriation for funds as follows:</w:t>
      </w:r>
    </w:p>
    <w:p w14:paraId="622635E4" w14:textId="77777777" w:rsidR="00C32871" w:rsidRPr="00C9604D" w:rsidRDefault="00C708ED" w:rsidP="00600CD6">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9604D">
        <w:rPr>
          <w:rFonts w:ascii="Arial" w:hAnsi="Arial" w:cs="Arial"/>
          <w:color w:val="010000"/>
          <w:sz w:val="20"/>
        </w:rPr>
        <w:t>Dividend payment rate: 2% of charter capital.</w:t>
      </w:r>
    </w:p>
    <w:p w14:paraId="6EEE661C" w14:textId="4D10BB0F" w:rsidR="00C32871" w:rsidRPr="00C9604D" w:rsidRDefault="00C708ED" w:rsidP="00600CD6">
      <w:pPr>
        <w:numPr>
          <w:ilvl w:val="0"/>
          <w:numId w:val="2"/>
        </w:numPr>
        <w:pBdr>
          <w:top w:val="nil"/>
          <w:left w:val="nil"/>
          <w:bottom w:val="nil"/>
          <w:right w:val="nil"/>
          <w:between w:val="nil"/>
        </w:pBdr>
        <w:tabs>
          <w:tab w:val="left" w:pos="432"/>
        </w:tabs>
        <w:spacing w:after="120" w:line="360" w:lineRule="auto"/>
        <w:ind w:left="0" w:firstLine="0"/>
        <w:rPr>
          <w:rFonts w:ascii="Arial" w:eastAsia="Arial" w:hAnsi="Arial" w:cs="Arial"/>
          <w:color w:val="010000"/>
          <w:sz w:val="20"/>
          <w:szCs w:val="20"/>
        </w:rPr>
      </w:pPr>
      <w:r w:rsidRPr="00C9604D">
        <w:rPr>
          <w:rFonts w:ascii="Arial" w:hAnsi="Arial" w:cs="Arial"/>
          <w:color w:val="010000"/>
          <w:sz w:val="20"/>
        </w:rPr>
        <w:t xml:space="preserve">Appropriation for bonus and welfare fund: </w:t>
      </w:r>
      <w:r w:rsidR="002515C6" w:rsidRPr="00C9604D">
        <w:rPr>
          <w:rFonts w:ascii="Arial" w:hAnsi="Arial" w:cs="Arial"/>
          <w:color w:val="010000"/>
          <w:sz w:val="20"/>
        </w:rPr>
        <w:t>≥</w:t>
      </w:r>
      <w:r w:rsidR="00C9604D" w:rsidRPr="00C9604D">
        <w:rPr>
          <w:rFonts w:ascii="Arial" w:hAnsi="Arial" w:cs="Arial"/>
          <w:color w:val="010000"/>
          <w:sz w:val="20"/>
        </w:rPr>
        <w:t xml:space="preserve"> </w:t>
      </w:r>
      <w:r w:rsidRPr="00C9604D">
        <w:rPr>
          <w:rFonts w:ascii="Arial" w:hAnsi="Arial" w:cs="Arial"/>
          <w:color w:val="010000"/>
          <w:sz w:val="20"/>
        </w:rPr>
        <w:t>VND 120,000,000</w:t>
      </w:r>
    </w:p>
    <w:p w14:paraId="4AD03642" w14:textId="1278E43F"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(If profits exceed the plan, it is proposed to </w:t>
      </w:r>
      <w:r w:rsidR="00C9604D" w:rsidRPr="00C9604D">
        <w:rPr>
          <w:rFonts w:ascii="Arial" w:hAnsi="Arial" w:cs="Arial"/>
          <w:color w:val="010000"/>
          <w:sz w:val="20"/>
        </w:rPr>
        <w:t>additionally appropriate</w:t>
      </w:r>
      <w:r w:rsidRPr="00C9604D">
        <w:rPr>
          <w:rFonts w:ascii="Arial" w:hAnsi="Arial" w:cs="Arial"/>
          <w:color w:val="010000"/>
          <w:sz w:val="20"/>
        </w:rPr>
        <w:t xml:space="preserve"> the bonus and welfare fund at least 40% of the profits exceeding the plan</w:t>
      </w:r>
      <w:r w:rsidR="002515C6" w:rsidRPr="00C9604D">
        <w:rPr>
          <w:rFonts w:ascii="Arial" w:hAnsi="Arial" w:cs="Arial"/>
          <w:color w:val="010000"/>
          <w:sz w:val="20"/>
        </w:rPr>
        <w:t>,</w:t>
      </w:r>
      <w:r w:rsidRPr="00C9604D">
        <w:rPr>
          <w:rFonts w:ascii="Arial" w:hAnsi="Arial" w:cs="Arial"/>
          <w:color w:val="010000"/>
          <w:sz w:val="20"/>
        </w:rPr>
        <w:t xml:space="preserve"> and the bonus fund for the Executive Board from 5% to 10% of the profits exceeding the plan)</w:t>
      </w:r>
    </w:p>
    <w:p w14:paraId="30BE6602" w14:textId="3B697B89"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Based on the actual production and business results achieved in 2024, the Board of Directors will submit to the Annual General Meeting of Shareholders 2025 the decision on </w:t>
      </w:r>
      <w:r w:rsidR="002515C6" w:rsidRPr="00C9604D">
        <w:rPr>
          <w:rFonts w:ascii="Arial" w:hAnsi="Arial" w:cs="Arial"/>
          <w:color w:val="010000"/>
          <w:sz w:val="20"/>
        </w:rPr>
        <w:t xml:space="preserve">the </w:t>
      </w:r>
      <w:r w:rsidRPr="00C9604D">
        <w:rPr>
          <w:rFonts w:ascii="Arial" w:hAnsi="Arial" w:cs="Arial"/>
          <w:color w:val="010000"/>
          <w:sz w:val="20"/>
        </w:rPr>
        <w:t>specific plan on</w:t>
      </w:r>
      <w:r w:rsidR="00C9604D" w:rsidRPr="00C9604D">
        <w:rPr>
          <w:rFonts w:ascii="Arial" w:hAnsi="Arial" w:cs="Arial"/>
          <w:color w:val="010000"/>
          <w:sz w:val="20"/>
        </w:rPr>
        <w:t xml:space="preserve"> </w:t>
      </w:r>
      <w:r w:rsidRPr="00C9604D">
        <w:rPr>
          <w:rFonts w:ascii="Arial" w:hAnsi="Arial" w:cs="Arial"/>
          <w:color w:val="010000"/>
          <w:sz w:val="20"/>
        </w:rPr>
        <w:t>profit distribution in 2024.</w:t>
      </w:r>
    </w:p>
    <w:p w14:paraId="135C2103"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Article 11: This General Mandate takes effect from 1</w:t>
      </w:r>
      <w:r w:rsidR="002515C6" w:rsidRPr="00C9604D">
        <w:rPr>
          <w:rFonts w:ascii="Arial" w:hAnsi="Arial" w:cs="Arial"/>
          <w:color w:val="010000"/>
          <w:sz w:val="20"/>
        </w:rPr>
        <w:t>1</w:t>
      </w:r>
      <w:r w:rsidRPr="00C9604D">
        <w:rPr>
          <w:rFonts w:ascii="Arial" w:hAnsi="Arial" w:cs="Arial"/>
          <w:color w:val="010000"/>
          <w:sz w:val="20"/>
        </w:rPr>
        <w:t>:</w:t>
      </w:r>
      <w:r w:rsidR="002515C6" w:rsidRPr="00C9604D">
        <w:rPr>
          <w:rFonts w:ascii="Arial" w:hAnsi="Arial" w:cs="Arial"/>
          <w:color w:val="010000"/>
          <w:sz w:val="20"/>
        </w:rPr>
        <w:t>55 a</w:t>
      </w:r>
      <w:r w:rsidRPr="00C9604D">
        <w:rPr>
          <w:rFonts w:ascii="Arial" w:hAnsi="Arial" w:cs="Arial"/>
          <w:color w:val="010000"/>
          <w:sz w:val="20"/>
        </w:rPr>
        <w:t>.m. on May 16, 2024.</w:t>
      </w:r>
    </w:p>
    <w:p w14:paraId="506B321A" w14:textId="77777777" w:rsidR="00C32871" w:rsidRPr="00C9604D" w:rsidRDefault="00C708ED" w:rsidP="00600CD6">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C9604D">
        <w:rPr>
          <w:rFonts w:ascii="Arial" w:hAnsi="Arial" w:cs="Arial"/>
          <w:color w:val="010000"/>
          <w:sz w:val="20"/>
        </w:rPr>
        <w:t xml:space="preserve">The Board of Directors, the Supervisory Board, the Board of Managers, and the entire of shareholders of Hoang Thach Bagging Joint Stock Company are </w:t>
      </w:r>
      <w:r w:rsidR="002515C6" w:rsidRPr="00C9604D">
        <w:rPr>
          <w:rFonts w:ascii="Arial" w:hAnsi="Arial" w:cs="Arial"/>
          <w:color w:val="010000"/>
          <w:sz w:val="20"/>
        </w:rPr>
        <w:t>responsible</w:t>
      </w:r>
      <w:r w:rsidRPr="00C9604D">
        <w:rPr>
          <w:rFonts w:ascii="Arial" w:hAnsi="Arial" w:cs="Arial"/>
          <w:color w:val="010000"/>
          <w:sz w:val="20"/>
        </w:rPr>
        <w:t xml:space="preserve"> for implementing this General Mandate.</w:t>
      </w:r>
    </w:p>
    <w:sectPr w:rsidR="00C32871" w:rsidRPr="00C9604D" w:rsidSect="00600CD6">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altName w:val="Times New Roman"/>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7252A"/>
    <w:multiLevelType w:val="multilevel"/>
    <w:tmpl w:val="0896E74C"/>
    <w:lvl w:ilvl="0">
      <w:start w:val="1"/>
      <w:numFmt w:val="bullet"/>
      <w:lvlText w:val="+"/>
      <w:lvlJc w:val="left"/>
      <w:pPr>
        <w:ind w:left="720" w:hanging="360"/>
      </w:pPr>
      <w:rPr>
        <w:rFonts w:ascii="Noto Sans Symbols" w:eastAsia="Noto Sans Symbols" w:hAnsi="Noto Sans Symbols" w:cs="Noto Sans Symbols"/>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9522D7"/>
    <w:multiLevelType w:val="multilevel"/>
    <w:tmpl w:val="F266B6B0"/>
    <w:lvl w:ilvl="0">
      <w:start w:val="1"/>
      <w:numFmt w:val="lowerLetter"/>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071640"/>
    <w:multiLevelType w:val="multilevel"/>
    <w:tmpl w:val="9D1EEDDA"/>
    <w:lvl w:ilvl="0">
      <w:numFmt w:val="bullet"/>
      <w:lvlText w:val="-"/>
      <w:lvlJc w:val="left"/>
      <w:pPr>
        <w:ind w:left="720" w:hanging="360"/>
      </w:pPr>
      <w:rPr>
        <w:rFonts w:ascii="Arial" w:eastAsia="Arial" w:hAnsi="Arial" w:cs="Arial"/>
        <w:b w:val="0"/>
        <w:i w:val="0"/>
        <w:sz w:val="20"/>
        <w:szCs w:val="20"/>
        <w:u w:val="none"/>
      </w:rPr>
    </w:lvl>
    <w:lvl w:ilvl="1">
      <w:start w:val="1"/>
      <w:numFmt w:val="bullet"/>
      <w:lvlText w:val="o"/>
      <w:lvlJc w:val="left"/>
      <w:pPr>
        <w:ind w:left="1440" w:hanging="360"/>
      </w:pPr>
      <w:rPr>
        <w:rFonts w:ascii="Arial" w:eastAsia="Arial" w:hAnsi="Arial" w:cs="Arial"/>
        <w:b w:val="0"/>
        <w:i w:val="0"/>
        <w:sz w:val="20"/>
        <w:szCs w:val="20"/>
      </w:rPr>
    </w:lvl>
    <w:lvl w:ilvl="2">
      <w:start w:val="1"/>
      <w:numFmt w:val="bullet"/>
      <w:lvlText w:val=""/>
      <w:lvlJc w:val="left"/>
      <w:pPr>
        <w:ind w:left="2160" w:hanging="360"/>
      </w:pPr>
      <w:rPr>
        <w:rFonts w:ascii="Arial" w:eastAsia="Arial" w:hAnsi="Arial" w:cs="Arial"/>
        <w:b w:val="0"/>
        <w:i w:val="0"/>
        <w:sz w:val="20"/>
        <w:szCs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981E95"/>
    <w:multiLevelType w:val="multilevel"/>
    <w:tmpl w:val="E0CEDC7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69A23DE3"/>
    <w:multiLevelType w:val="multilevel"/>
    <w:tmpl w:val="EADA5500"/>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37644C4"/>
    <w:multiLevelType w:val="multilevel"/>
    <w:tmpl w:val="8630521E"/>
    <w:lvl w:ilvl="0">
      <w:start w:val="1"/>
      <w:numFmt w:val="bullet"/>
      <w:lvlText w:val="-"/>
      <w:lvlJc w:val="left"/>
      <w:pPr>
        <w:ind w:left="0" w:firstLine="0"/>
      </w:pPr>
      <w:rPr>
        <w:rFonts w:ascii="Arial" w:eastAsia="Arial" w:hAnsi="Arial" w:cs="Arial"/>
        <w:b w:val="0"/>
        <w:i w:val="0"/>
        <w:smallCaps w:val="0"/>
        <w:strike w:val="0"/>
        <w:color w:val="292D2C"/>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63181640">
    <w:abstractNumId w:val="3"/>
  </w:num>
  <w:num w:numId="2" w16cid:durableId="222838819">
    <w:abstractNumId w:val="2"/>
  </w:num>
  <w:num w:numId="3" w16cid:durableId="1242985979">
    <w:abstractNumId w:val="1"/>
  </w:num>
  <w:num w:numId="4" w16cid:durableId="525022751">
    <w:abstractNumId w:val="4"/>
  </w:num>
  <w:num w:numId="5" w16cid:durableId="1654678853">
    <w:abstractNumId w:val="0"/>
  </w:num>
  <w:num w:numId="6" w16cid:durableId="12520850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71"/>
    <w:rsid w:val="002515C6"/>
    <w:rsid w:val="004649D9"/>
    <w:rsid w:val="00600CD6"/>
    <w:rsid w:val="00805344"/>
    <w:rsid w:val="008F760B"/>
    <w:rsid w:val="00C32871"/>
    <w:rsid w:val="00C708ED"/>
    <w:rsid w:val="00C9604D"/>
    <w:rsid w:val="00D7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5FCC5"/>
  <w15:docId w15:val="{532808E8-C7E9-4B7E-AFE1-2F5628B2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5">
    <w:name w:val="Văn bản nội dung (5)_"/>
    <w:basedOn w:val="DefaultParagraphFont"/>
    <w:link w:val="Vnbnnidung50"/>
    <w:rPr>
      <w:rFonts w:ascii="Arial" w:eastAsia="Arial" w:hAnsi="Arial" w:cs="Arial"/>
      <w:b w:val="0"/>
      <w:bCs w:val="0"/>
      <w:i w:val="0"/>
      <w:iCs w:val="0"/>
      <w:smallCaps w:val="0"/>
      <w:strike w:val="0"/>
      <w:sz w:val="28"/>
      <w:szCs w:val="2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8"/>
      <w:szCs w:val="8"/>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color w:val="292D2C"/>
      <w:sz w:val="26"/>
      <w:szCs w:val="26"/>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30"/>
      <w:szCs w:val="30"/>
      <w:u w:val="none"/>
      <w:shd w:val="clear" w:color="auto" w:fill="auto"/>
    </w:rPr>
  </w:style>
  <w:style w:type="paragraph" w:customStyle="1" w:styleId="Vnbnnidung0">
    <w:name w:val="Văn bản nội dung"/>
    <w:basedOn w:val="Normal"/>
    <w:link w:val="Vnbnnidung"/>
    <w:pPr>
      <w:spacing w:line="295" w:lineRule="auto"/>
    </w:pPr>
    <w:rPr>
      <w:rFonts w:ascii="Times New Roman" w:eastAsia="Times New Roman" w:hAnsi="Times New Roman" w:cs="Times New Roman"/>
      <w:sz w:val="26"/>
      <w:szCs w:val="26"/>
    </w:rPr>
  </w:style>
  <w:style w:type="paragraph" w:customStyle="1" w:styleId="Vnbnnidung50">
    <w:name w:val="Văn bản nội dung (5)"/>
    <w:basedOn w:val="Normal"/>
    <w:link w:val="Vnbnnidung5"/>
    <w:pPr>
      <w:spacing w:line="262" w:lineRule="auto"/>
      <w:ind w:firstLine="140"/>
    </w:pPr>
    <w:rPr>
      <w:rFonts w:ascii="Arial" w:eastAsia="Arial" w:hAnsi="Arial" w:cs="Arial"/>
      <w:sz w:val="28"/>
      <w:szCs w:val="28"/>
    </w:rPr>
  </w:style>
  <w:style w:type="paragraph" w:customStyle="1" w:styleId="Vnbnnidung30">
    <w:name w:val="Văn bản nội dung (3)"/>
    <w:basedOn w:val="Normal"/>
    <w:link w:val="Vnbnnidung3"/>
    <w:pPr>
      <w:spacing w:line="254" w:lineRule="auto"/>
    </w:pPr>
    <w:rPr>
      <w:rFonts w:ascii="Arial" w:eastAsia="Arial" w:hAnsi="Arial" w:cs="Arial"/>
      <w:sz w:val="8"/>
      <w:szCs w:val="8"/>
    </w:rPr>
  </w:style>
  <w:style w:type="paragraph" w:customStyle="1" w:styleId="Vnbnnidung20">
    <w:name w:val="Văn bản nội dung (2)"/>
    <w:basedOn w:val="Normal"/>
    <w:link w:val="Vnbnnidung2"/>
    <w:rPr>
      <w:rFonts w:ascii="Times New Roman" w:eastAsia="Times New Roman" w:hAnsi="Times New Roman" w:cs="Times New Roman"/>
      <w:color w:val="292D2C"/>
      <w:sz w:val="26"/>
      <w:szCs w:val="26"/>
    </w:rPr>
  </w:style>
  <w:style w:type="paragraph" w:customStyle="1" w:styleId="Khc0">
    <w:name w:val="Khác"/>
    <w:basedOn w:val="Normal"/>
    <w:link w:val="Khc"/>
    <w:pPr>
      <w:spacing w:line="295" w:lineRule="auto"/>
    </w:pPr>
    <w:rPr>
      <w:rFonts w:ascii="Times New Roman" w:eastAsia="Times New Roman" w:hAnsi="Times New Roman" w:cs="Times New Roman"/>
      <w:sz w:val="26"/>
      <w:szCs w:val="26"/>
    </w:rPr>
  </w:style>
  <w:style w:type="paragraph" w:customStyle="1" w:styleId="Vnbnnidung40">
    <w:name w:val="Văn bản nội dung (4)"/>
    <w:basedOn w:val="Normal"/>
    <w:link w:val="Vnbnnidung4"/>
    <w:pPr>
      <w:ind w:firstLine="320"/>
    </w:pPr>
    <w:rPr>
      <w:rFonts w:ascii="Times New Roman" w:eastAsia="Times New Roman" w:hAnsi="Times New Roman" w:cs="Times New Roman"/>
      <w:sz w:val="22"/>
      <w:szCs w:val="22"/>
    </w:rPr>
  </w:style>
  <w:style w:type="paragraph" w:customStyle="1" w:styleId="Tiu10">
    <w:name w:val="Tiêu đề #1"/>
    <w:basedOn w:val="Normal"/>
    <w:link w:val="Tiu1"/>
    <w:pPr>
      <w:jc w:val="center"/>
      <w:outlineLvl w:val="0"/>
    </w:pPr>
    <w:rPr>
      <w:rFonts w:ascii="Times New Roman" w:eastAsia="Times New Roman" w:hAnsi="Times New Roman" w:cs="Times New Roman"/>
      <w:b/>
      <w:bCs/>
      <w:sz w:val="30"/>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INKs0hn4OErbIUBOf99PA+Lfg==">CgMxLjA4AHIhMUhTaGl1cWcxSEFKTUZJVVpwT21MakFpa0lsdENncHB4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797</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ales_0912986996@centeronline.edu.vn MSale@123</cp:lastModifiedBy>
  <cp:revision>11</cp:revision>
  <dcterms:created xsi:type="dcterms:W3CDTF">2024-05-21T03:37:00Z</dcterms:created>
  <dcterms:modified xsi:type="dcterms:W3CDTF">2024-05-22T07:49:00Z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2eafc2a442096bbeeba770315493978511c2d391b5eff03dc84ce44fb78f16dd</vt:lpwstr>
  </property>
</Properties>
</file>