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187D" w14:textId="77777777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082F4F">
        <w:rPr>
          <w:rFonts w:ascii="Arial" w:hAnsi="Arial" w:cs="Arial"/>
          <w:b/>
          <w:color w:val="010000"/>
          <w:sz w:val="20"/>
        </w:rPr>
        <w:t>BWA: Annual General Mandate 2024</w:t>
      </w:r>
    </w:p>
    <w:p w14:paraId="4A3255F1" w14:textId="77777777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>On May 16, 2024, Bao Loc Supply Sewerage and Construction Joint Stock Company announced General Mandate 150/NQ-DHDCD as follows:</w:t>
      </w:r>
    </w:p>
    <w:p w14:paraId="0817D300" w14:textId="3D8740D5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‎‎Article 1. Approve the production and business results </w:t>
      </w:r>
      <w:r w:rsidR="00082F4F" w:rsidRPr="00082F4F">
        <w:rPr>
          <w:rFonts w:ascii="Arial" w:hAnsi="Arial" w:cs="Arial"/>
          <w:color w:val="010000"/>
          <w:sz w:val="20"/>
        </w:rPr>
        <w:t xml:space="preserve">in </w:t>
      </w:r>
      <w:r w:rsidRPr="00082F4F">
        <w:rPr>
          <w:rFonts w:ascii="Arial" w:hAnsi="Arial" w:cs="Arial"/>
          <w:color w:val="010000"/>
          <w:sz w:val="20"/>
        </w:rPr>
        <w:t>2023 of Bao Loc Supply Sewerage and Construction Joint Stock Company, the Audited Financial Statements 2023 and production and business plan 2024.</w:t>
      </w:r>
    </w:p>
    <w:p w14:paraId="15064F50" w14:textId="692F406D" w:rsidR="00C80E30" w:rsidRPr="00082F4F" w:rsidRDefault="00082F4F" w:rsidP="00082F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>P</w:t>
      </w:r>
      <w:r w:rsidR="0033560D" w:rsidRPr="00082F4F">
        <w:rPr>
          <w:rFonts w:ascii="Arial" w:hAnsi="Arial" w:cs="Arial"/>
          <w:color w:val="010000"/>
          <w:sz w:val="20"/>
        </w:rPr>
        <w:t>roduction and business results 2023</w:t>
      </w:r>
      <w:r w:rsidRPr="00082F4F">
        <w:rPr>
          <w:rFonts w:ascii="Arial" w:hAnsi="Arial" w:cs="Arial"/>
          <w:color w:val="010000"/>
          <w:sz w:val="20"/>
        </w:rPr>
        <w:t xml:space="preserve"> and</w:t>
      </w:r>
      <w:r w:rsidR="0033560D" w:rsidRPr="00082F4F">
        <w:rPr>
          <w:rFonts w:ascii="Arial" w:hAnsi="Arial" w:cs="Arial"/>
          <w:color w:val="010000"/>
          <w:sz w:val="20"/>
        </w:rPr>
        <w:t xml:space="preserve"> Audited Financial Statements 2023: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61"/>
        <w:gridCol w:w="1142"/>
        <w:gridCol w:w="1578"/>
        <w:gridCol w:w="2465"/>
        <w:gridCol w:w="871"/>
      </w:tblGrid>
      <w:tr w:rsidR="00C80E30" w:rsidRPr="00082F4F" w14:paraId="79432738" w14:textId="77777777" w:rsidTr="00D64302">
        <w:tc>
          <w:tcPr>
            <w:tcW w:w="1642" w:type="pct"/>
            <w:shd w:val="clear" w:color="auto" w:fill="auto"/>
            <w:vAlign w:val="center"/>
          </w:tcPr>
          <w:p w14:paraId="2E1D7F43" w14:textId="54C782B1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CA806F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51FA1C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Plan 2023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98DE851" w14:textId="360E6CE6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Results </w:t>
            </w:r>
            <w:r w:rsidR="00082F4F" w:rsidRPr="00082F4F">
              <w:rPr>
                <w:rFonts w:ascii="Arial" w:hAnsi="Arial" w:cs="Arial"/>
                <w:color w:val="010000"/>
                <w:sz w:val="20"/>
              </w:rPr>
              <w:t xml:space="preserve">in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4165EE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Rate %</w:t>
            </w:r>
          </w:p>
        </w:tc>
      </w:tr>
      <w:tr w:rsidR="00C80E30" w:rsidRPr="00082F4F" w14:paraId="43B66F9F" w14:textId="77777777" w:rsidTr="00D64302">
        <w:tc>
          <w:tcPr>
            <w:tcW w:w="1642" w:type="pct"/>
            <w:shd w:val="clear" w:color="auto" w:fill="auto"/>
            <w:vAlign w:val="center"/>
          </w:tcPr>
          <w:p w14:paraId="204479BF" w14:textId="77777777" w:rsidR="00C80E30" w:rsidRPr="00082F4F" w:rsidRDefault="0033560D" w:rsidP="00082F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 Production water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DFF4529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50D3F9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4,890,000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84E3E7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4,707,824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CBFC35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96.3</w:t>
            </w:r>
          </w:p>
        </w:tc>
      </w:tr>
      <w:tr w:rsidR="00C80E30" w:rsidRPr="00082F4F" w14:paraId="2F47D2DB" w14:textId="77777777" w:rsidTr="00D64302">
        <w:tc>
          <w:tcPr>
            <w:tcW w:w="1642" w:type="pct"/>
            <w:shd w:val="clear" w:color="auto" w:fill="auto"/>
            <w:vAlign w:val="center"/>
          </w:tcPr>
          <w:p w14:paraId="48E50060" w14:textId="77777777" w:rsidR="00C80E30" w:rsidRPr="00082F4F" w:rsidRDefault="0033560D" w:rsidP="00082F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 Metered water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44C460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D267A1E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3,520,800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58279E00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3,534,936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E53C5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100.4</w:t>
            </w:r>
          </w:p>
        </w:tc>
      </w:tr>
      <w:tr w:rsidR="00C80E30" w:rsidRPr="00082F4F" w14:paraId="5AF349F0" w14:textId="77777777" w:rsidTr="00D64302">
        <w:tc>
          <w:tcPr>
            <w:tcW w:w="1642" w:type="pct"/>
            <w:shd w:val="clear" w:color="auto" w:fill="auto"/>
            <w:vAlign w:val="center"/>
          </w:tcPr>
          <w:p w14:paraId="7170F6D2" w14:textId="77777777" w:rsidR="00C80E30" w:rsidRPr="00082F4F" w:rsidRDefault="0033560D" w:rsidP="00082F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 Loss rate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5B9D04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477DC2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28.00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5546A6E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24.91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27CDB3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-3.1%</w:t>
            </w:r>
          </w:p>
        </w:tc>
      </w:tr>
      <w:tr w:rsidR="00C80E30" w:rsidRPr="00082F4F" w14:paraId="63A00301" w14:textId="77777777" w:rsidTr="00D64302">
        <w:tc>
          <w:tcPr>
            <w:tcW w:w="1642" w:type="pct"/>
            <w:shd w:val="clear" w:color="auto" w:fill="auto"/>
            <w:vAlign w:val="center"/>
          </w:tcPr>
          <w:p w14:paraId="42685E6B" w14:textId="77777777" w:rsidR="00C80E30" w:rsidRPr="00082F4F" w:rsidRDefault="0033560D" w:rsidP="00082F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 Cost of goods sold in industrial production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8FB0DB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VND/ 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24A972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9,050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5294787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8,990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4DD94BE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-60</w:t>
            </w:r>
          </w:p>
        </w:tc>
      </w:tr>
      <w:tr w:rsidR="00C80E30" w:rsidRPr="00082F4F" w14:paraId="7BA554C9" w14:textId="77777777" w:rsidTr="00D64302">
        <w:tc>
          <w:tcPr>
            <w:tcW w:w="1642" w:type="pct"/>
            <w:shd w:val="clear" w:color="auto" w:fill="auto"/>
            <w:vAlign w:val="center"/>
          </w:tcPr>
          <w:p w14:paraId="0CA0303B" w14:textId="77777777" w:rsidR="00C80E30" w:rsidRPr="00082F4F" w:rsidRDefault="0033560D" w:rsidP="00082F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 Average selling price of industrial products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8670C5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VND/ 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452502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9,178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4DAF36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9,266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EB9094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88</w:t>
            </w:r>
          </w:p>
        </w:tc>
      </w:tr>
      <w:tr w:rsidR="00C80E30" w:rsidRPr="00082F4F" w14:paraId="4E7C47A2" w14:textId="77777777" w:rsidTr="00D64302">
        <w:tc>
          <w:tcPr>
            <w:tcW w:w="1642" w:type="pct"/>
            <w:shd w:val="clear" w:color="auto" w:fill="auto"/>
            <w:vAlign w:val="center"/>
          </w:tcPr>
          <w:p w14:paraId="10B2901E" w14:textId="77777777" w:rsidR="00C80E30" w:rsidRPr="00082F4F" w:rsidRDefault="0033560D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 Total revenue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D4F945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0FB4F8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34,512,502,400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426100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35,334,528,342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340F82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102.4</w:t>
            </w:r>
          </w:p>
        </w:tc>
      </w:tr>
      <w:tr w:rsidR="00C80E30" w:rsidRPr="00082F4F" w14:paraId="342455B0" w14:textId="77777777" w:rsidTr="00D64302">
        <w:tc>
          <w:tcPr>
            <w:tcW w:w="1642" w:type="pct"/>
            <w:shd w:val="clear" w:color="auto" w:fill="auto"/>
            <w:vAlign w:val="center"/>
          </w:tcPr>
          <w:p w14:paraId="10D4E16E" w14:textId="77777777" w:rsidR="00C80E30" w:rsidRPr="00082F4F" w:rsidRDefault="0033560D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Total profit before tax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1D8E8B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9639CD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561,662,400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D843247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1,217,239,052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389AFA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216.7</w:t>
            </w:r>
          </w:p>
        </w:tc>
      </w:tr>
      <w:tr w:rsidR="00C80E30" w:rsidRPr="00082F4F" w14:paraId="1315F81A" w14:textId="77777777" w:rsidTr="00D64302">
        <w:tc>
          <w:tcPr>
            <w:tcW w:w="1642" w:type="pct"/>
            <w:shd w:val="clear" w:color="auto" w:fill="auto"/>
            <w:vAlign w:val="center"/>
          </w:tcPr>
          <w:p w14:paraId="70F8075E" w14:textId="77777777" w:rsidR="00C80E30" w:rsidRPr="00082F4F" w:rsidRDefault="0033560D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Total profit after tax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63F977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0A25C8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449,329,920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FC3F4E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794,671,357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B97A15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176.8</w:t>
            </w:r>
          </w:p>
        </w:tc>
      </w:tr>
      <w:tr w:rsidR="00C80E30" w:rsidRPr="00082F4F" w14:paraId="768F4BFF" w14:textId="77777777" w:rsidTr="00D64302">
        <w:tc>
          <w:tcPr>
            <w:tcW w:w="1642" w:type="pct"/>
            <w:shd w:val="clear" w:color="auto" w:fill="auto"/>
            <w:vAlign w:val="center"/>
          </w:tcPr>
          <w:p w14:paraId="4CDBC154" w14:textId="77777777" w:rsidR="00C80E30" w:rsidRPr="00082F4F" w:rsidRDefault="0033560D" w:rsidP="00082F4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 Dividend payment rate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594A31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241483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4.5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D7CAC9E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4.5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2F6F12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100</w:t>
            </w:r>
          </w:p>
        </w:tc>
      </w:tr>
      <w:tr w:rsidR="00C80E30" w:rsidRPr="00082F4F" w14:paraId="1D84340A" w14:textId="77777777" w:rsidTr="00D64302">
        <w:tc>
          <w:tcPr>
            <w:tcW w:w="1642" w:type="pct"/>
            <w:shd w:val="clear" w:color="auto" w:fill="auto"/>
            <w:vAlign w:val="center"/>
          </w:tcPr>
          <w:p w14:paraId="7263711E" w14:textId="77777777" w:rsidR="00C80E30" w:rsidRPr="00082F4F" w:rsidRDefault="00914002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</w:t>
            </w:r>
            <w:r w:rsidR="0033560D" w:rsidRPr="00082F4F">
              <w:rPr>
                <w:rFonts w:ascii="Arial" w:hAnsi="Arial" w:cs="Arial"/>
                <w:color w:val="010000"/>
                <w:sz w:val="20"/>
              </w:rPr>
              <w:t>lanned salary fund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for production water workers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BF772E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F00BEA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6,404,000,000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A9EA3F9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6,823,000,000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3054DBE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106.5</w:t>
            </w:r>
          </w:p>
        </w:tc>
      </w:tr>
      <w:tr w:rsidR="00C80E30" w:rsidRPr="00082F4F" w14:paraId="30B89FEA" w14:textId="77777777" w:rsidTr="00D64302">
        <w:tc>
          <w:tcPr>
            <w:tcW w:w="1642" w:type="pct"/>
            <w:shd w:val="clear" w:color="auto" w:fill="auto"/>
            <w:vAlign w:val="center"/>
          </w:tcPr>
          <w:p w14:paraId="73CD1814" w14:textId="77777777" w:rsidR="00C80E30" w:rsidRPr="00082F4F" w:rsidRDefault="0033560D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Average income </w:t>
            </w:r>
            <w:r w:rsidR="00914002" w:rsidRPr="00082F4F">
              <w:rPr>
                <w:rFonts w:ascii="Arial" w:hAnsi="Arial" w:cs="Arial"/>
                <w:color w:val="010000"/>
                <w:sz w:val="20"/>
              </w:rPr>
              <w:t>(</w:t>
            </w:r>
            <w:r w:rsidRPr="00082F4F">
              <w:rPr>
                <w:rFonts w:ascii="Arial" w:hAnsi="Arial" w:cs="Arial"/>
                <w:color w:val="010000"/>
                <w:sz w:val="20"/>
              </w:rPr>
              <w:t>person per month</w:t>
            </w:r>
            <w:r w:rsidR="00914002" w:rsidRPr="00082F4F">
              <w:rPr>
                <w:rFonts w:ascii="Arial" w:hAnsi="Arial" w:cs="Arial"/>
                <w:color w:val="010000"/>
                <w:sz w:val="20"/>
              </w:rPr>
              <w:t>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E21BD2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VND/ person/ month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F62BE8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7,734,300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5A3381A7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8,884,115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501CA40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114.9</w:t>
            </w:r>
          </w:p>
        </w:tc>
      </w:tr>
      <w:tr w:rsidR="00C80E30" w:rsidRPr="00082F4F" w14:paraId="37F8AC00" w14:textId="77777777" w:rsidTr="00D64302">
        <w:tc>
          <w:tcPr>
            <w:tcW w:w="1642" w:type="pct"/>
            <w:shd w:val="clear" w:color="auto" w:fill="auto"/>
            <w:vAlign w:val="center"/>
          </w:tcPr>
          <w:p w14:paraId="35DBA35C" w14:textId="77777777" w:rsidR="00C80E30" w:rsidRPr="00082F4F" w:rsidRDefault="0033560D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Planned salary fund </w:t>
            </w:r>
            <w:r w:rsidR="00914002" w:rsidRPr="00082F4F">
              <w:rPr>
                <w:rFonts w:ascii="Arial" w:hAnsi="Arial" w:cs="Arial"/>
                <w:color w:val="010000"/>
                <w:sz w:val="20"/>
              </w:rPr>
              <w:t>for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managers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616C19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20E588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1,008,000,000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B684C7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852,000,000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B49C43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84.5</w:t>
            </w:r>
          </w:p>
        </w:tc>
      </w:tr>
      <w:tr w:rsidR="00C80E30" w:rsidRPr="00082F4F" w14:paraId="68FB065F" w14:textId="77777777" w:rsidTr="00D64302">
        <w:tc>
          <w:tcPr>
            <w:tcW w:w="1642" w:type="pct"/>
            <w:shd w:val="clear" w:color="auto" w:fill="auto"/>
            <w:vAlign w:val="center"/>
          </w:tcPr>
          <w:p w14:paraId="59EB3CD0" w14:textId="77777777" w:rsidR="00C80E30" w:rsidRPr="00082F4F" w:rsidRDefault="0033560D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Remuneration of the Board of Directors and the Supervisory Board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088D5F9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C85863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216,000,000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97A3D1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199,800,000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185E6F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92.5</w:t>
            </w:r>
          </w:p>
        </w:tc>
      </w:tr>
      <w:tr w:rsidR="00C80E30" w:rsidRPr="00082F4F" w14:paraId="0B3766DF" w14:textId="77777777" w:rsidTr="00D64302">
        <w:tc>
          <w:tcPr>
            <w:tcW w:w="1642" w:type="pct"/>
            <w:shd w:val="clear" w:color="auto" w:fill="auto"/>
            <w:vAlign w:val="center"/>
          </w:tcPr>
          <w:p w14:paraId="01304687" w14:textId="77777777" w:rsidR="00C80E30" w:rsidRPr="00082F4F" w:rsidRDefault="0033560D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Capital construction investment, major repairs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40E5E9E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650A85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5,150,000,000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F5802B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5,209,161,851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6DF40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101</w:t>
            </w:r>
          </w:p>
        </w:tc>
      </w:tr>
      <w:tr w:rsidR="00C80E30" w:rsidRPr="00082F4F" w14:paraId="205B5D85" w14:textId="77777777" w:rsidTr="00D64302">
        <w:tc>
          <w:tcPr>
            <w:tcW w:w="5000" w:type="pct"/>
            <w:gridSpan w:val="5"/>
            <w:shd w:val="clear" w:color="auto" w:fill="auto"/>
            <w:vAlign w:val="center"/>
          </w:tcPr>
          <w:p w14:paraId="677220A6" w14:textId="77777777" w:rsidR="00C80E30" w:rsidRPr="00082F4F" w:rsidRDefault="00914002" w:rsidP="00082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R</w:t>
            </w:r>
            <w:r w:rsidR="0033560D" w:rsidRPr="00082F4F">
              <w:rPr>
                <w:rFonts w:ascii="Arial" w:hAnsi="Arial" w:cs="Arial"/>
                <w:color w:val="010000"/>
                <w:sz w:val="20"/>
              </w:rPr>
              <w:t>esource and network development project</w:t>
            </w:r>
          </w:p>
        </w:tc>
      </w:tr>
      <w:tr w:rsidR="00C80E30" w:rsidRPr="00082F4F" w14:paraId="5C96E7F2" w14:textId="77777777" w:rsidTr="00D64302">
        <w:tc>
          <w:tcPr>
            <w:tcW w:w="1642" w:type="pct"/>
            <w:vMerge w:val="restart"/>
            <w:shd w:val="clear" w:color="auto" w:fill="auto"/>
            <w:vAlign w:val="center"/>
          </w:tcPr>
          <w:p w14:paraId="6C1F694B" w14:textId="3A2642BF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lastRenderedPageBreak/>
              <w:t>9.1. Project: Construct Dai Nga River surface water treatment plant in Bao Loc City phase 1, with a capacity of 5000m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/ </w:t>
            </w:r>
            <w:r w:rsidR="00D92B0F">
              <w:rPr>
                <w:rFonts w:ascii="Arial" w:hAnsi="Arial" w:cs="Arial"/>
                <w:color w:val="010000"/>
                <w:sz w:val="20"/>
              </w:rPr>
              <w:t>day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  <w:p w14:paraId="0C17420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Total investment: VND 37,789,000,000. Including:</w:t>
            </w:r>
          </w:p>
          <w:p w14:paraId="734BFF98" w14:textId="77777777" w:rsidR="00C80E30" w:rsidRPr="00082F4F" w:rsidRDefault="00CF4992" w:rsidP="00082F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Own capital</w:t>
            </w:r>
            <w:r w:rsidR="0033560D" w:rsidRPr="00082F4F">
              <w:rPr>
                <w:rFonts w:ascii="Arial" w:hAnsi="Arial" w:cs="Arial"/>
                <w:color w:val="010000"/>
                <w:sz w:val="20"/>
              </w:rPr>
              <w:t>: VND 8,989,000,000</w:t>
            </w:r>
          </w:p>
          <w:p w14:paraId="45996540" w14:textId="77777777" w:rsidR="00C80E30" w:rsidRPr="00082F4F" w:rsidRDefault="0033560D" w:rsidP="00082F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Loan capital: VND 28,800,000,000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8CE2BF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87A0CF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37,789,000,000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D4FE580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The project has been granted construction permits; the investor has approved the construction design drawings and construction cost estimates; completed the bidding process to select the construction contractor, and commenced construction on December 28, 2023.</w:t>
            </w:r>
          </w:p>
          <w:p w14:paraId="0D2438D1" w14:textId="5C6C7AD4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(Investment value: </w:t>
            </w:r>
            <w:r w:rsidR="00082F4F" w:rsidRPr="00082F4F">
              <w:rPr>
                <w:rFonts w:ascii="Arial" w:hAnsi="Arial" w:cs="Arial"/>
                <w:color w:val="010000"/>
                <w:sz w:val="20"/>
              </w:rPr>
              <w:t xml:space="preserve">VND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1,964,216,480)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1A4712F" w14:textId="77777777" w:rsidR="00C80E30" w:rsidRPr="00082F4F" w:rsidRDefault="00C80E30" w:rsidP="00082F4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80E30" w:rsidRPr="00082F4F" w14:paraId="28AD0015" w14:textId="77777777" w:rsidTr="00D64302">
        <w:tc>
          <w:tcPr>
            <w:tcW w:w="1642" w:type="pct"/>
            <w:vMerge/>
            <w:shd w:val="clear" w:color="auto" w:fill="auto"/>
            <w:vAlign w:val="center"/>
          </w:tcPr>
          <w:p w14:paraId="244D20E2" w14:textId="77777777" w:rsidR="00C80E30" w:rsidRPr="00082F4F" w:rsidRDefault="00C80E30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358" w:type="pct"/>
            <w:gridSpan w:val="4"/>
            <w:shd w:val="clear" w:color="auto" w:fill="auto"/>
            <w:vAlign w:val="center"/>
          </w:tcPr>
          <w:p w14:paraId="3DF33C2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Legal basis:</w:t>
            </w:r>
          </w:p>
          <w:p w14:paraId="37571A34" w14:textId="77777777" w:rsidR="00C80E30" w:rsidRPr="00082F4F" w:rsidRDefault="0033560D" w:rsidP="00082F4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Decision No. 1052/QD-UBND dated June 13, 2022 of the People's Committee of Lam Dong Province approving the investment policy and accepting the investor of the project.</w:t>
            </w:r>
          </w:p>
          <w:p w14:paraId="239510AA" w14:textId="77777777" w:rsidR="00C80E30" w:rsidRPr="00082F4F" w:rsidRDefault="0033560D" w:rsidP="00082F4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Construction Permit No. 13/GPXD-KCN dated September 20, 2023 issued by </w:t>
            </w:r>
            <w:r w:rsidR="00CF4992" w:rsidRPr="00082F4F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Industrial Zones Authority of the Province</w:t>
            </w:r>
          </w:p>
        </w:tc>
      </w:tr>
      <w:tr w:rsidR="00C80E30" w:rsidRPr="00082F4F" w14:paraId="4762B2EF" w14:textId="77777777" w:rsidTr="00D64302">
        <w:tc>
          <w:tcPr>
            <w:tcW w:w="1642" w:type="pct"/>
            <w:vMerge w:val="restart"/>
            <w:shd w:val="clear" w:color="auto" w:fill="auto"/>
            <w:vAlign w:val="center"/>
          </w:tcPr>
          <w:p w14:paraId="0FE8F38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9.2. Project: </w:t>
            </w:r>
            <w:r w:rsidR="00CF4992" w:rsidRPr="00082F4F">
              <w:rPr>
                <w:rFonts w:ascii="Arial" w:hAnsi="Arial" w:cs="Arial"/>
                <w:color w:val="010000"/>
                <w:sz w:val="20"/>
              </w:rPr>
              <w:t>Invest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CF4992" w:rsidRPr="00082F4F">
              <w:rPr>
                <w:rFonts w:ascii="Arial" w:hAnsi="Arial" w:cs="Arial"/>
                <w:color w:val="010000"/>
                <w:sz w:val="20"/>
              </w:rPr>
              <w:t xml:space="preserve">in 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water supply network system 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 xml:space="preserve">for Bao Loc City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phase 1</w:t>
            </w:r>
          </w:p>
          <w:p w14:paraId="76D464D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Total investment: VND 52,533,000,000, including:</w:t>
            </w:r>
          </w:p>
          <w:p w14:paraId="4D2CF57A" w14:textId="77777777" w:rsidR="00C80E30" w:rsidRPr="00082F4F" w:rsidRDefault="00CF4992" w:rsidP="00082F4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Own</w:t>
            </w:r>
            <w:r w:rsidR="0033560D" w:rsidRPr="00082F4F">
              <w:rPr>
                <w:rFonts w:ascii="Arial" w:hAnsi="Arial" w:cs="Arial"/>
                <w:color w:val="010000"/>
                <w:sz w:val="20"/>
              </w:rPr>
              <w:t xml:space="preserve"> capital: VND 6,333,000,000</w:t>
            </w:r>
          </w:p>
          <w:p w14:paraId="50D228DA" w14:textId="77777777" w:rsidR="00C80E30" w:rsidRPr="00082F4F" w:rsidRDefault="0033560D" w:rsidP="00082F4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Loan capital: VND 46,200,000,000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97623B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445DCC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52,533,000,000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732C2C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The project has been approved for investment policy and is currently undergoing the appraisal process at various levels of authority to approve the feasibility study report.</w:t>
            </w:r>
          </w:p>
          <w:p w14:paraId="71687236" w14:textId="021A1CFB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(Investment value </w:t>
            </w:r>
            <w:r w:rsidR="00082F4F" w:rsidRPr="00082F4F">
              <w:rPr>
                <w:rFonts w:ascii="Arial" w:hAnsi="Arial" w:cs="Arial"/>
                <w:color w:val="010000"/>
                <w:sz w:val="20"/>
              </w:rPr>
              <w:t xml:space="preserve">VND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193,422,800)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EF27AED" w14:textId="77777777" w:rsidR="00C80E30" w:rsidRPr="00082F4F" w:rsidRDefault="00C80E30" w:rsidP="00082F4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80E30" w:rsidRPr="00082F4F" w14:paraId="36573CDD" w14:textId="77777777" w:rsidTr="00D64302">
        <w:tc>
          <w:tcPr>
            <w:tcW w:w="1642" w:type="pct"/>
            <w:vMerge/>
            <w:shd w:val="clear" w:color="auto" w:fill="auto"/>
            <w:vAlign w:val="center"/>
          </w:tcPr>
          <w:p w14:paraId="307756B0" w14:textId="77777777" w:rsidR="00C80E30" w:rsidRPr="00082F4F" w:rsidRDefault="00C80E30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358" w:type="pct"/>
            <w:gridSpan w:val="4"/>
            <w:shd w:val="clear" w:color="auto" w:fill="auto"/>
            <w:vAlign w:val="center"/>
          </w:tcPr>
          <w:p w14:paraId="6D456BE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Legal basis:</w:t>
            </w:r>
          </w:p>
          <w:p w14:paraId="1B4AB367" w14:textId="77777777" w:rsidR="00C80E30" w:rsidRPr="00082F4F" w:rsidRDefault="0033560D" w:rsidP="00082F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Official Dispatch No. 939/UBND-TL dated February 13, 2023 from the People's Committee of Lam Dong Province approving the investment policy of the project.</w:t>
            </w:r>
          </w:p>
          <w:p w14:paraId="1BD12866" w14:textId="3ED67564" w:rsidR="00C80E30" w:rsidRPr="00082F4F" w:rsidRDefault="0033560D" w:rsidP="00082F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Proposal No. 2299/STC dated October 17, 2022 from the Department of Finance of Lam Dong Province, endorsed by Official Dispatch No. 8150/UBND-TL dated October 25, 2022, regarding the approval of using funds from the investment and development fund, </w:t>
            </w:r>
            <w:r w:rsidRPr="00082F4F">
              <w:rPr>
                <w:rFonts w:ascii="Arial" w:hAnsi="Arial" w:cs="Arial"/>
                <w:color w:val="010000"/>
                <w:sz w:val="20"/>
              </w:rPr>
              <w:lastRenderedPageBreak/>
              <w:t xml:space="preserve">existing funds of the unit, and other legal sources of capital (if any) to implement the project. </w:t>
            </w:r>
          </w:p>
          <w:p w14:paraId="42078A73" w14:textId="77777777" w:rsidR="00C80E30" w:rsidRPr="00082F4F" w:rsidRDefault="0033560D" w:rsidP="00082F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heading=h.gjdgxs"/>
            <w:bookmarkEnd w:id="0"/>
            <w:r w:rsidRPr="00082F4F">
              <w:rPr>
                <w:rFonts w:ascii="Arial" w:hAnsi="Arial" w:cs="Arial"/>
                <w:color w:val="010000"/>
                <w:sz w:val="20"/>
              </w:rPr>
              <w:t xml:space="preserve">Minutes of the meeting on December 22, 2022 between the Provincial </w:t>
            </w:r>
            <w:r w:rsidR="00CF4992" w:rsidRPr="00082F4F">
              <w:rPr>
                <w:rFonts w:ascii="Arial" w:hAnsi="Arial" w:cs="Arial"/>
                <w:color w:val="010000"/>
                <w:sz w:val="20"/>
              </w:rPr>
              <w:t>Investment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and </w:t>
            </w:r>
            <w:r w:rsidR="00CF4992" w:rsidRPr="00082F4F">
              <w:rPr>
                <w:rFonts w:ascii="Arial" w:hAnsi="Arial" w:cs="Arial"/>
                <w:color w:val="010000"/>
                <w:sz w:val="20"/>
              </w:rPr>
              <w:t>Development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>Fund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and Bao Loc Supply Sewerage and Construction Joint Stock Company regarding the review and agreement on 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>the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 xml:space="preserve">capacity to provide credit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for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 xml:space="preserve"> the Company to implement 02 projects</w:t>
            </w:r>
            <w:r w:rsidRPr="00082F4F">
              <w:rPr>
                <w:rFonts w:ascii="Arial" w:hAnsi="Arial" w:cs="Arial"/>
                <w:color w:val="010000"/>
                <w:sz w:val="20"/>
              </w:rPr>
              <w:t>.</w:t>
            </w:r>
          </w:p>
        </w:tc>
      </w:tr>
    </w:tbl>
    <w:p w14:paraId="4BC6B104" w14:textId="77777777" w:rsidR="00C80E30" w:rsidRPr="00082F4F" w:rsidRDefault="0033560D" w:rsidP="0008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lastRenderedPageBreak/>
        <w:t xml:space="preserve"> Production and business plan for 2024: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4"/>
        <w:gridCol w:w="4932"/>
        <w:gridCol w:w="1243"/>
        <w:gridCol w:w="2128"/>
      </w:tblGrid>
      <w:tr w:rsidR="00C80E30" w:rsidRPr="00082F4F" w14:paraId="4C4A617D" w14:textId="77777777" w:rsidTr="00D64302">
        <w:tc>
          <w:tcPr>
            <w:tcW w:w="396" w:type="pct"/>
            <w:shd w:val="clear" w:color="auto" w:fill="auto"/>
            <w:vAlign w:val="center"/>
          </w:tcPr>
          <w:p w14:paraId="2081D247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2F6CAFE2" w14:textId="44625D9D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7A42C8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04CC5B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</w:tr>
      <w:tr w:rsidR="00C80E30" w:rsidRPr="00082F4F" w14:paraId="6ACF4AC3" w14:textId="77777777" w:rsidTr="00D64302">
        <w:tc>
          <w:tcPr>
            <w:tcW w:w="396" w:type="pct"/>
            <w:shd w:val="clear" w:color="auto" w:fill="auto"/>
            <w:vAlign w:val="center"/>
          </w:tcPr>
          <w:p w14:paraId="5C8AC80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5329C48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Main product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4649FFF" w14:textId="77777777" w:rsidR="00C80E30" w:rsidRPr="00082F4F" w:rsidRDefault="00C80E30" w:rsidP="00082F4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35ABB47" w14:textId="77777777" w:rsidR="00C80E30" w:rsidRPr="00082F4F" w:rsidRDefault="00C80E30" w:rsidP="00082F4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80E30" w:rsidRPr="00082F4F" w14:paraId="3D50FDAD" w14:textId="77777777" w:rsidTr="00D64302">
        <w:tc>
          <w:tcPr>
            <w:tcW w:w="396" w:type="pct"/>
            <w:shd w:val="clear" w:color="auto" w:fill="auto"/>
            <w:vAlign w:val="center"/>
          </w:tcPr>
          <w:p w14:paraId="2D740EF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586F7BA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Production water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7E70ED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631BDF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4,820,260</w:t>
            </w:r>
          </w:p>
        </w:tc>
      </w:tr>
      <w:tr w:rsidR="00C80E30" w:rsidRPr="00082F4F" w14:paraId="5818240C" w14:textId="77777777" w:rsidTr="00D64302">
        <w:tc>
          <w:tcPr>
            <w:tcW w:w="396" w:type="pct"/>
            <w:shd w:val="clear" w:color="auto" w:fill="auto"/>
            <w:vAlign w:val="center"/>
          </w:tcPr>
          <w:p w14:paraId="6720ACF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6B99494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Metered water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29C89F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A66E2C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3,711,600</w:t>
            </w:r>
          </w:p>
        </w:tc>
      </w:tr>
      <w:tr w:rsidR="00C80E30" w:rsidRPr="00082F4F" w14:paraId="312A96CD" w14:textId="77777777" w:rsidTr="00D64302">
        <w:tc>
          <w:tcPr>
            <w:tcW w:w="396" w:type="pct"/>
            <w:shd w:val="clear" w:color="auto" w:fill="auto"/>
            <w:vAlign w:val="center"/>
          </w:tcPr>
          <w:p w14:paraId="312BBC2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75DDC4D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Loss rate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7D5271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748DBF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23%</w:t>
            </w:r>
          </w:p>
        </w:tc>
      </w:tr>
      <w:tr w:rsidR="00C80E30" w:rsidRPr="00082F4F" w14:paraId="47DF0C18" w14:textId="77777777" w:rsidTr="00D64302">
        <w:tc>
          <w:tcPr>
            <w:tcW w:w="396" w:type="pct"/>
            <w:shd w:val="clear" w:color="auto" w:fill="auto"/>
            <w:vAlign w:val="center"/>
          </w:tcPr>
          <w:p w14:paraId="49E7FFA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64487B7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Inventory turnover rate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BB497F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A36802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&lt;1%</w:t>
            </w:r>
          </w:p>
        </w:tc>
      </w:tr>
      <w:tr w:rsidR="00C80E30" w:rsidRPr="00082F4F" w14:paraId="34F839F1" w14:textId="77777777" w:rsidTr="00D64302">
        <w:tc>
          <w:tcPr>
            <w:tcW w:w="396" w:type="pct"/>
            <w:shd w:val="clear" w:color="auto" w:fill="auto"/>
            <w:vAlign w:val="center"/>
          </w:tcPr>
          <w:p w14:paraId="52DFC9D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6E4EFDC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Newly developed customers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76A3F0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Household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2013FC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1,500</w:t>
            </w:r>
          </w:p>
        </w:tc>
      </w:tr>
      <w:tr w:rsidR="00C80E30" w:rsidRPr="00082F4F" w14:paraId="5AC3F598" w14:textId="77777777" w:rsidTr="00D64302">
        <w:tc>
          <w:tcPr>
            <w:tcW w:w="396" w:type="pct"/>
            <w:shd w:val="clear" w:color="auto" w:fill="auto"/>
            <w:vAlign w:val="center"/>
          </w:tcPr>
          <w:p w14:paraId="31D3903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1C507AA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Initial verification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67D3480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Pack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C53ED5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2,000</w:t>
            </w:r>
          </w:p>
        </w:tc>
      </w:tr>
      <w:tr w:rsidR="00C80E30" w:rsidRPr="00082F4F" w14:paraId="7D4C8EBF" w14:textId="77777777" w:rsidTr="00D64302">
        <w:tc>
          <w:tcPr>
            <w:tcW w:w="396" w:type="pct"/>
            <w:shd w:val="clear" w:color="auto" w:fill="auto"/>
            <w:vAlign w:val="center"/>
          </w:tcPr>
          <w:p w14:paraId="2AB1B8C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7F09E3E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Periodic water meter inspection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97A328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Pack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FF10B5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4,000</w:t>
            </w:r>
          </w:p>
        </w:tc>
      </w:tr>
      <w:tr w:rsidR="00C80E30" w:rsidRPr="00082F4F" w14:paraId="3AB4FC17" w14:textId="77777777" w:rsidTr="00D64302">
        <w:tc>
          <w:tcPr>
            <w:tcW w:w="396" w:type="pct"/>
            <w:shd w:val="clear" w:color="auto" w:fill="auto"/>
            <w:vAlign w:val="center"/>
          </w:tcPr>
          <w:p w14:paraId="7D0D318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7E327A9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Replace the water meter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195A54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Pack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4F29E70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800</w:t>
            </w:r>
          </w:p>
        </w:tc>
      </w:tr>
      <w:tr w:rsidR="00C80E30" w:rsidRPr="00082F4F" w14:paraId="49AA9B84" w14:textId="77777777" w:rsidTr="00D64302">
        <w:tc>
          <w:tcPr>
            <w:tcW w:w="396" w:type="pct"/>
            <w:shd w:val="clear" w:color="auto" w:fill="auto"/>
            <w:vAlign w:val="center"/>
          </w:tcPr>
          <w:p w14:paraId="4C37CA2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1354400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Financial- revenue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228DC94" w14:textId="77777777" w:rsidR="00C80E30" w:rsidRPr="00082F4F" w:rsidRDefault="00C80E30" w:rsidP="00082F4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14A2EEAA" w14:textId="77777777" w:rsidR="00C80E30" w:rsidRPr="00082F4F" w:rsidRDefault="00C80E30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80E30" w:rsidRPr="00082F4F" w14:paraId="6DD83830" w14:textId="77777777" w:rsidTr="00D64302">
        <w:tc>
          <w:tcPr>
            <w:tcW w:w="396" w:type="pct"/>
            <w:shd w:val="clear" w:color="auto" w:fill="auto"/>
            <w:vAlign w:val="center"/>
          </w:tcPr>
          <w:p w14:paraId="311CF3C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3EC1683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Cost of water supply production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CC906E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VND/ 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71A0FA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9,000</w:t>
            </w:r>
          </w:p>
        </w:tc>
      </w:tr>
      <w:tr w:rsidR="00C80E30" w:rsidRPr="00082F4F" w14:paraId="1D22034C" w14:textId="77777777" w:rsidTr="00D64302">
        <w:tc>
          <w:tcPr>
            <w:tcW w:w="396" w:type="pct"/>
            <w:shd w:val="clear" w:color="auto" w:fill="auto"/>
            <w:vAlign w:val="center"/>
          </w:tcPr>
          <w:p w14:paraId="1AF0693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14008267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Average selling price of water supply production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29757B9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VND/ 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30D37C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9,300</w:t>
            </w:r>
          </w:p>
        </w:tc>
      </w:tr>
      <w:tr w:rsidR="00C80E30" w:rsidRPr="00082F4F" w14:paraId="22B21E68" w14:textId="77777777" w:rsidTr="00D64302">
        <w:tc>
          <w:tcPr>
            <w:tcW w:w="396" w:type="pct"/>
            <w:shd w:val="clear" w:color="auto" w:fill="auto"/>
            <w:vAlign w:val="center"/>
          </w:tcPr>
          <w:p w14:paraId="3CE535F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4053A61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41768A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117375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36,612,120,547</w:t>
            </w:r>
          </w:p>
        </w:tc>
      </w:tr>
      <w:tr w:rsidR="00C80E30" w:rsidRPr="00082F4F" w14:paraId="23FBC357" w14:textId="77777777" w:rsidTr="00D64302">
        <w:tc>
          <w:tcPr>
            <w:tcW w:w="396" w:type="pct"/>
            <w:shd w:val="clear" w:color="auto" w:fill="auto"/>
            <w:vAlign w:val="center"/>
          </w:tcPr>
          <w:p w14:paraId="2645388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4897389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Total profit before tax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C63AC2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6CF910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1,245,133,302</w:t>
            </w:r>
          </w:p>
        </w:tc>
      </w:tr>
      <w:tr w:rsidR="00C80E30" w:rsidRPr="00082F4F" w14:paraId="7BC2A2DA" w14:textId="77777777" w:rsidTr="00D64302">
        <w:tc>
          <w:tcPr>
            <w:tcW w:w="396" w:type="pct"/>
            <w:shd w:val="clear" w:color="auto" w:fill="auto"/>
            <w:vAlign w:val="center"/>
          </w:tcPr>
          <w:p w14:paraId="0C81958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C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625158D7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Dividend payment rate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5CA2E4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85E7BDE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4.5</w:t>
            </w:r>
          </w:p>
        </w:tc>
      </w:tr>
      <w:tr w:rsidR="00C80E30" w:rsidRPr="00082F4F" w14:paraId="6DDCE1ED" w14:textId="77777777" w:rsidTr="00D64302">
        <w:tc>
          <w:tcPr>
            <w:tcW w:w="396" w:type="pct"/>
            <w:shd w:val="clear" w:color="auto" w:fill="auto"/>
            <w:vAlign w:val="center"/>
          </w:tcPr>
          <w:p w14:paraId="74EE6FA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D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7A3ED14E" w14:textId="77777777" w:rsidR="00C80E30" w:rsidRPr="00082F4F" w:rsidRDefault="004F7335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Planned </w:t>
            </w:r>
            <w:r w:rsidR="0033560D" w:rsidRPr="00082F4F">
              <w:rPr>
                <w:rFonts w:ascii="Arial" w:hAnsi="Arial" w:cs="Arial"/>
                <w:color w:val="010000"/>
                <w:sz w:val="20"/>
              </w:rPr>
              <w:t>salary fund for water production workers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6F0839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3F5F5A0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7,142,828,125</w:t>
            </w:r>
          </w:p>
        </w:tc>
      </w:tr>
      <w:tr w:rsidR="00C80E30" w:rsidRPr="00082F4F" w14:paraId="267C08B1" w14:textId="77777777" w:rsidTr="00D64302">
        <w:tc>
          <w:tcPr>
            <w:tcW w:w="396" w:type="pct"/>
            <w:shd w:val="clear" w:color="auto" w:fill="auto"/>
            <w:vAlign w:val="center"/>
          </w:tcPr>
          <w:p w14:paraId="4DD42307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5E50ACF7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Average number of workers in water production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8086F5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Person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6A5821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67</w:t>
            </w:r>
          </w:p>
        </w:tc>
      </w:tr>
      <w:tr w:rsidR="00C80E30" w:rsidRPr="00082F4F" w14:paraId="00A1F8CA" w14:textId="77777777" w:rsidTr="00D64302">
        <w:tc>
          <w:tcPr>
            <w:tcW w:w="396" w:type="pct"/>
            <w:shd w:val="clear" w:color="auto" w:fill="auto"/>
            <w:vAlign w:val="center"/>
          </w:tcPr>
          <w:p w14:paraId="7F66367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0F43FD4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Average income of employee (excluding the 13th-month salary)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E58271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VND/ person/ month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6E0943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9,036,540</w:t>
            </w:r>
          </w:p>
        </w:tc>
      </w:tr>
      <w:tr w:rsidR="00C80E30" w:rsidRPr="00082F4F" w14:paraId="4607F10C" w14:textId="77777777" w:rsidTr="00D64302">
        <w:tc>
          <w:tcPr>
            <w:tcW w:w="396" w:type="pct"/>
            <w:shd w:val="clear" w:color="auto" w:fill="auto"/>
            <w:vAlign w:val="center"/>
          </w:tcPr>
          <w:p w14:paraId="60D220D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7841DE0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Salary fund of managers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1F05BC9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VND/ person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CFDF760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1,008,000,000</w:t>
            </w:r>
          </w:p>
        </w:tc>
      </w:tr>
      <w:tr w:rsidR="00C80E30" w:rsidRPr="00082F4F" w14:paraId="367B6AC0" w14:textId="77777777" w:rsidTr="00D64302">
        <w:tc>
          <w:tcPr>
            <w:tcW w:w="396" w:type="pct"/>
            <w:shd w:val="clear" w:color="auto" w:fill="auto"/>
            <w:vAlign w:val="center"/>
          </w:tcPr>
          <w:p w14:paraId="39B724A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4206564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Remuneration of the Board of Directors, the Supervisory Board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829282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VND/ person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DF54C4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216,000,000</w:t>
            </w:r>
          </w:p>
        </w:tc>
      </w:tr>
      <w:tr w:rsidR="00C80E30" w:rsidRPr="00082F4F" w14:paraId="6AD8A859" w14:textId="77777777" w:rsidTr="00D64302">
        <w:tc>
          <w:tcPr>
            <w:tcW w:w="396" w:type="pct"/>
            <w:shd w:val="clear" w:color="auto" w:fill="auto"/>
            <w:vAlign w:val="center"/>
          </w:tcPr>
          <w:p w14:paraId="37BB1B5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lastRenderedPageBreak/>
              <w:t>E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2015DA4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Capital construction investment, major repairs of pumping stations, water supply networks, submersible pumps, chlorine machines for pumping stations.</w:t>
            </w:r>
            <w:r w:rsidRPr="00082F4F">
              <w:rPr>
                <w:rFonts w:ascii="Arial" w:hAnsi="Arial" w:cs="Arial"/>
                <w:color w:val="010000"/>
                <w:sz w:val="20"/>
              </w:rPr>
              <w:tab/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163128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0C9DAB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3,500,000,000</w:t>
            </w:r>
          </w:p>
        </w:tc>
      </w:tr>
      <w:tr w:rsidR="00C80E30" w:rsidRPr="00082F4F" w14:paraId="1809CF68" w14:textId="77777777" w:rsidTr="00D64302">
        <w:tc>
          <w:tcPr>
            <w:tcW w:w="396" w:type="pct"/>
            <w:shd w:val="clear" w:color="auto" w:fill="auto"/>
            <w:vAlign w:val="center"/>
          </w:tcPr>
          <w:p w14:paraId="14BF4C0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F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09D47F6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Bao Loc City clean water loss control project.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827C07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80EBA3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1,500,000,000</w:t>
            </w:r>
          </w:p>
        </w:tc>
      </w:tr>
      <w:tr w:rsidR="00C80E30" w:rsidRPr="00082F4F" w14:paraId="4E418C25" w14:textId="77777777" w:rsidTr="00D64302">
        <w:tc>
          <w:tcPr>
            <w:tcW w:w="396" w:type="pct"/>
            <w:shd w:val="clear" w:color="auto" w:fill="auto"/>
            <w:vAlign w:val="center"/>
          </w:tcPr>
          <w:p w14:paraId="4B6687F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G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377A2D79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Water resource and network development project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52F5DA3" w14:textId="77777777" w:rsidR="00C80E30" w:rsidRPr="00082F4F" w:rsidRDefault="00C80E30" w:rsidP="00082F4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528188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24,617,964,000</w:t>
            </w:r>
          </w:p>
        </w:tc>
      </w:tr>
      <w:tr w:rsidR="00C80E30" w:rsidRPr="00082F4F" w14:paraId="6D36CB10" w14:textId="77777777" w:rsidTr="00D64302">
        <w:tc>
          <w:tcPr>
            <w:tcW w:w="396" w:type="pct"/>
            <w:shd w:val="clear" w:color="auto" w:fill="auto"/>
            <w:vAlign w:val="center"/>
          </w:tcPr>
          <w:p w14:paraId="43AA3B8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74B9E2C9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Construction project of the water supply pipeline for the Dambri model rural residential area and Dambri Commune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A3E1CD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BE4A26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13,406,431,000</w:t>
            </w:r>
          </w:p>
        </w:tc>
      </w:tr>
      <w:tr w:rsidR="00C80E30" w:rsidRPr="00082F4F" w14:paraId="554AC46D" w14:textId="77777777" w:rsidTr="00D64302">
        <w:tc>
          <w:tcPr>
            <w:tcW w:w="396" w:type="pct"/>
            <w:shd w:val="clear" w:color="auto" w:fill="auto"/>
            <w:vAlign w:val="center"/>
          </w:tcPr>
          <w:p w14:paraId="6A1924D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61A81C7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Construction project of the water supply pipeline for Loc Thanh Commune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9589D1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78FDE2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7,151,503,000</w:t>
            </w:r>
          </w:p>
        </w:tc>
      </w:tr>
      <w:tr w:rsidR="00C80E30" w:rsidRPr="00082F4F" w14:paraId="79311479" w14:textId="77777777" w:rsidTr="00D64302">
        <w:tc>
          <w:tcPr>
            <w:tcW w:w="396" w:type="pct"/>
            <w:shd w:val="clear" w:color="auto" w:fill="auto"/>
            <w:vAlign w:val="center"/>
          </w:tcPr>
          <w:p w14:paraId="305E7B4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33ABA83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Project for the construction of a clean water supply regulation and reserve tank, warehouse, and operation building phase 1.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B61D90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3D04D44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4,060,030,000</w:t>
            </w:r>
          </w:p>
        </w:tc>
      </w:tr>
      <w:tr w:rsidR="00C80E30" w:rsidRPr="00082F4F" w14:paraId="1A5DCB70" w14:textId="77777777" w:rsidTr="00D64302">
        <w:tc>
          <w:tcPr>
            <w:tcW w:w="396" w:type="pct"/>
            <w:shd w:val="clear" w:color="auto" w:fill="auto"/>
            <w:vAlign w:val="center"/>
          </w:tcPr>
          <w:p w14:paraId="6AEB5FF0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H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62CC6F4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Transitional projects 2023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7D6B337" w14:textId="77777777" w:rsidR="00C80E30" w:rsidRPr="00082F4F" w:rsidRDefault="00C80E30" w:rsidP="00082F4F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2A6217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88,164,360,720</w:t>
            </w:r>
          </w:p>
        </w:tc>
      </w:tr>
      <w:tr w:rsidR="00C80E30" w:rsidRPr="00082F4F" w14:paraId="3702F114" w14:textId="77777777" w:rsidTr="00D64302">
        <w:tc>
          <w:tcPr>
            <w:tcW w:w="396" w:type="pct"/>
            <w:shd w:val="clear" w:color="auto" w:fill="auto"/>
            <w:vAlign w:val="center"/>
          </w:tcPr>
          <w:p w14:paraId="1B5243E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3E04DCCD" w14:textId="01A835F0" w:rsidR="004F7335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Project: Construct Dai Nga River surface water treatment plant in Bao Loc City phase 1, with a capacity of 5000m</w:t>
            </w:r>
            <w:r w:rsidRPr="00082F4F">
              <w:rPr>
                <w:rFonts w:ascii="Arial" w:hAnsi="Arial" w:cs="Arial"/>
                <w:color w:val="010000"/>
                <w:sz w:val="20"/>
                <w:vertAlign w:val="superscript"/>
              </w:rPr>
              <w:t>3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/ </w:t>
            </w:r>
            <w:r w:rsidR="00D92B0F">
              <w:rPr>
                <w:rFonts w:ascii="Arial" w:hAnsi="Arial" w:cs="Arial"/>
                <w:color w:val="010000"/>
                <w:sz w:val="20"/>
              </w:rPr>
              <w:t>day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  <w:p w14:paraId="5B97680E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Total investment: VND 37,789,000,000.</w:t>
            </w:r>
          </w:p>
          <w:p w14:paraId="5A7FDB25" w14:textId="77777777" w:rsidR="004F7335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Including: </w:t>
            </w:r>
          </w:p>
          <w:p w14:paraId="7606F02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- 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 xml:space="preserve">      Own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capital: VND 8,989,000,000</w:t>
            </w:r>
          </w:p>
          <w:p w14:paraId="033826F2" w14:textId="77777777" w:rsidR="00C80E30" w:rsidRPr="00082F4F" w:rsidRDefault="0033560D" w:rsidP="00082F4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contextualSpacing w:val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Loan capital: VND 28,800,000,000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C3AC17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51DE5B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35,824,783,520</w:t>
            </w:r>
          </w:p>
        </w:tc>
      </w:tr>
      <w:tr w:rsidR="00C80E30" w:rsidRPr="00082F4F" w14:paraId="3462D40A" w14:textId="77777777" w:rsidTr="00D64302">
        <w:tc>
          <w:tcPr>
            <w:tcW w:w="396" w:type="pct"/>
            <w:shd w:val="clear" w:color="auto" w:fill="auto"/>
            <w:vAlign w:val="center"/>
          </w:tcPr>
          <w:p w14:paraId="06E7644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75FFEE9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Project: 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 xml:space="preserve">Invest in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water supply network system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 xml:space="preserve"> for Bao Loc City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phase 1</w:t>
            </w:r>
          </w:p>
          <w:p w14:paraId="7670B9B2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Total investment: VND 52,533,000,000</w:t>
            </w:r>
          </w:p>
          <w:p w14:paraId="5D90CD5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Including: - </w:t>
            </w:r>
            <w:r w:rsidR="004F7335" w:rsidRPr="00082F4F">
              <w:rPr>
                <w:rFonts w:ascii="Arial" w:hAnsi="Arial" w:cs="Arial"/>
                <w:color w:val="010000"/>
                <w:sz w:val="20"/>
              </w:rPr>
              <w:t>Own</w:t>
            </w:r>
            <w:r w:rsidRPr="00082F4F">
              <w:rPr>
                <w:rFonts w:ascii="Arial" w:hAnsi="Arial" w:cs="Arial"/>
                <w:color w:val="010000"/>
                <w:sz w:val="20"/>
              </w:rPr>
              <w:t xml:space="preserve"> capital: VND 6,333,000,000</w:t>
            </w:r>
          </w:p>
          <w:p w14:paraId="172236D5" w14:textId="77777777" w:rsidR="00C80E30" w:rsidRPr="00082F4F" w:rsidRDefault="0033560D" w:rsidP="00082F4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contextualSpacing w:val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Loan capital: VND 46,200,000,000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69E540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309A74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52,339,577,200</w:t>
            </w:r>
          </w:p>
        </w:tc>
      </w:tr>
    </w:tbl>
    <w:p w14:paraId="4E6D5288" w14:textId="5A5B62D8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‎‎Article 2. Approve the Report on the </w:t>
      </w:r>
      <w:r w:rsidR="00082F4F" w:rsidRPr="00082F4F">
        <w:rPr>
          <w:rFonts w:ascii="Arial" w:hAnsi="Arial" w:cs="Arial"/>
          <w:color w:val="010000"/>
          <w:sz w:val="20"/>
        </w:rPr>
        <w:t>operating</w:t>
      </w:r>
      <w:r w:rsidRPr="00082F4F">
        <w:rPr>
          <w:rFonts w:ascii="Arial" w:hAnsi="Arial" w:cs="Arial"/>
          <w:color w:val="010000"/>
          <w:sz w:val="20"/>
        </w:rPr>
        <w:t xml:space="preserve"> results 2023 and the plan for 2024 of the Board of Directors.</w:t>
      </w:r>
    </w:p>
    <w:p w14:paraId="53040F82" w14:textId="299EF2FB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Article 3. Approve the Report on the </w:t>
      </w:r>
      <w:r w:rsidR="00082F4F" w:rsidRPr="00082F4F">
        <w:rPr>
          <w:rFonts w:ascii="Arial" w:hAnsi="Arial" w:cs="Arial"/>
          <w:color w:val="010000"/>
          <w:sz w:val="20"/>
        </w:rPr>
        <w:t xml:space="preserve">operating </w:t>
      </w:r>
      <w:r w:rsidRPr="00082F4F">
        <w:rPr>
          <w:rFonts w:ascii="Arial" w:hAnsi="Arial" w:cs="Arial"/>
          <w:color w:val="010000"/>
          <w:sz w:val="20"/>
        </w:rPr>
        <w:t>results 2023 and the plan for 2024 of the Supervisory Board.</w:t>
      </w:r>
      <w:r w:rsidR="00082F4F" w:rsidRPr="00082F4F">
        <w:rPr>
          <w:rFonts w:ascii="Arial" w:hAnsi="Arial" w:cs="Arial"/>
          <w:color w:val="010000"/>
          <w:sz w:val="20"/>
        </w:rPr>
        <w:t xml:space="preserve"> </w:t>
      </w:r>
    </w:p>
    <w:p w14:paraId="5DD3E1D7" w14:textId="77777777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>Article 4: Approve the dividend payment plan for 2024 at 4.5% (equal to the dividend payment 2023 in cash).</w:t>
      </w:r>
    </w:p>
    <w:p w14:paraId="248BD95D" w14:textId="4AC90F75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>Dividend payment</w:t>
      </w:r>
      <w:r w:rsidR="00082F4F" w:rsidRPr="00082F4F">
        <w:rPr>
          <w:rFonts w:ascii="Arial" w:hAnsi="Arial" w:cs="Arial"/>
          <w:color w:val="010000"/>
          <w:sz w:val="20"/>
        </w:rPr>
        <w:t xml:space="preserve"> in</w:t>
      </w:r>
      <w:r w:rsidRPr="00082F4F">
        <w:rPr>
          <w:rFonts w:ascii="Arial" w:hAnsi="Arial" w:cs="Arial"/>
          <w:color w:val="010000"/>
          <w:sz w:val="20"/>
        </w:rPr>
        <w:t xml:space="preserve"> 2024: 4.5%</w:t>
      </w:r>
    </w:p>
    <w:p w14:paraId="241E799D" w14:textId="77777777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lastRenderedPageBreak/>
        <w:t>Dividend payment form:</w:t>
      </w:r>
    </w:p>
    <w:p w14:paraId="402C31AF" w14:textId="719B4C58" w:rsidR="00C80E30" w:rsidRPr="00082F4F" w:rsidRDefault="0033560D" w:rsidP="00082F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For shareholders with depository or bank accounts: Dividends will be paid </w:t>
      </w:r>
      <w:r w:rsidR="00082F4F" w:rsidRPr="00082F4F">
        <w:rPr>
          <w:rFonts w:ascii="Arial" w:hAnsi="Arial" w:cs="Arial"/>
          <w:color w:val="010000"/>
          <w:sz w:val="20"/>
        </w:rPr>
        <w:t>via</w:t>
      </w:r>
      <w:r w:rsidRPr="00082F4F">
        <w:rPr>
          <w:rFonts w:ascii="Arial" w:hAnsi="Arial" w:cs="Arial"/>
          <w:color w:val="010000"/>
          <w:sz w:val="20"/>
        </w:rPr>
        <w:t xml:space="preserve"> depository and bank accounts.</w:t>
      </w:r>
    </w:p>
    <w:p w14:paraId="7A7AE282" w14:textId="77777777" w:rsidR="00C80E30" w:rsidRPr="00082F4F" w:rsidRDefault="0033560D" w:rsidP="00082F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>For other shareholders: Dividends will be paid in cash at the office of Bao Loc Supply Sewerage and Construction Joint Stock Company</w:t>
      </w:r>
      <w:r w:rsidR="00D64302" w:rsidRPr="00082F4F">
        <w:rPr>
          <w:rFonts w:ascii="Arial" w:hAnsi="Arial" w:cs="Arial"/>
          <w:color w:val="010000"/>
          <w:sz w:val="20"/>
        </w:rPr>
        <w:t xml:space="preserve"> </w:t>
      </w:r>
      <w:r w:rsidRPr="00082F4F">
        <w:rPr>
          <w:rFonts w:ascii="Arial" w:hAnsi="Arial" w:cs="Arial"/>
          <w:color w:val="010000"/>
          <w:sz w:val="20"/>
        </w:rPr>
        <w:t>Address: No. 56 Le Thi Pha, Ward 1, Bao Loc City.</w:t>
      </w:r>
    </w:p>
    <w:p w14:paraId="5750908F" w14:textId="7E296D04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Article 5: Approve the labor plan 2024 </w:t>
      </w:r>
      <w:r w:rsidR="00082F4F" w:rsidRPr="00082F4F">
        <w:rPr>
          <w:rFonts w:ascii="Arial" w:hAnsi="Arial" w:cs="Arial"/>
          <w:color w:val="010000"/>
          <w:sz w:val="20"/>
        </w:rPr>
        <w:t>being</w:t>
      </w:r>
      <w:r w:rsidRPr="00082F4F">
        <w:rPr>
          <w:rFonts w:ascii="Arial" w:hAnsi="Arial" w:cs="Arial"/>
          <w:color w:val="010000"/>
          <w:sz w:val="20"/>
        </w:rPr>
        <w:t xml:space="preserve"> 67 people; The total salary fund implemented in 2023 </w:t>
      </w:r>
      <w:r w:rsidR="00082F4F" w:rsidRPr="00082F4F">
        <w:rPr>
          <w:rFonts w:ascii="Arial" w:hAnsi="Arial" w:cs="Arial"/>
          <w:color w:val="010000"/>
          <w:sz w:val="20"/>
        </w:rPr>
        <w:t>being</w:t>
      </w:r>
      <w:r w:rsidRPr="00082F4F">
        <w:rPr>
          <w:rFonts w:ascii="Arial" w:hAnsi="Arial" w:cs="Arial"/>
          <w:color w:val="010000"/>
          <w:sz w:val="20"/>
        </w:rPr>
        <w:t xml:space="preserve"> VND 7,675 million, and the plan for 2024 </w:t>
      </w:r>
      <w:r w:rsidR="00082F4F" w:rsidRPr="00082F4F">
        <w:rPr>
          <w:rFonts w:ascii="Arial" w:hAnsi="Arial" w:cs="Arial"/>
          <w:color w:val="010000"/>
          <w:sz w:val="20"/>
        </w:rPr>
        <w:t>being</w:t>
      </w:r>
      <w:r w:rsidRPr="00082F4F">
        <w:rPr>
          <w:rFonts w:ascii="Arial" w:hAnsi="Arial" w:cs="Arial"/>
          <w:color w:val="010000"/>
          <w:sz w:val="20"/>
        </w:rPr>
        <w:t xml:space="preserve"> VND 8,150 million; Remuneration for the Board of Directors and the Supervisory Board implemented in 2023 </w:t>
      </w:r>
      <w:r w:rsidR="00082F4F" w:rsidRPr="00082F4F">
        <w:rPr>
          <w:rFonts w:ascii="Arial" w:hAnsi="Arial" w:cs="Arial"/>
          <w:color w:val="010000"/>
          <w:sz w:val="20"/>
        </w:rPr>
        <w:t>being</w:t>
      </w:r>
      <w:r w:rsidRPr="00082F4F">
        <w:rPr>
          <w:rFonts w:ascii="Arial" w:hAnsi="Arial" w:cs="Arial"/>
          <w:color w:val="010000"/>
          <w:sz w:val="20"/>
        </w:rPr>
        <w:t xml:space="preserve"> VND 199.8 million (6 non-executive managers of the </w:t>
      </w:r>
      <w:r w:rsidR="00082F4F" w:rsidRPr="00082F4F">
        <w:rPr>
          <w:rFonts w:ascii="Arial" w:hAnsi="Arial" w:cs="Arial"/>
          <w:color w:val="010000"/>
          <w:sz w:val="20"/>
        </w:rPr>
        <w:t>C</w:t>
      </w:r>
      <w:r w:rsidRPr="00082F4F">
        <w:rPr>
          <w:rFonts w:ascii="Arial" w:hAnsi="Arial" w:cs="Arial"/>
          <w:color w:val="010000"/>
          <w:sz w:val="20"/>
        </w:rPr>
        <w:t xml:space="preserve">ompany </w:t>
      </w:r>
      <w:r w:rsidR="00082F4F" w:rsidRPr="00082F4F">
        <w:rPr>
          <w:rFonts w:ascii="Arial" w:hAnsi="Arial" w:cs="Arial"/>
          <w:color w:val="010000"/>
          <w:sz w:val="20"/>
        </w:rPr>
        <w:t xml:space="preserve">being </w:t>
      </w:r>
      <w:r w:rsidRPr="00082F4F">
        <w:rPr>
          <w:rFonts w:ascii="Arial" w:hAnsi="Arial" w:cs="Arial"/>
          <w:color w:val="010000"/>
          <w:sz w:val="20"/>
        </w:rPr>
        <w:t xml:space="preserve">VND 146 million) and the plan for 2024 </w:t>
      </w:r>
      <w:r w:rsidR="00082F4F" w:rsidRPr="00082F4F">
        <w:rPr>
          <w:rFonts w:ascii="Arial" w:hAnsi="Arial" w:cs="Arial"/>
          <w:color w:val="010000"/>
          <w:sz w:val="20"/>
        </w:rPr>
        <w:t xml:space="preserve">being </w:t>
      </w:r>
      <w:r w:rsidRPr="00082F4F">
        <w:rPr>
          <w:rFonts w:ascii="Arial" w:hAnsi="Arial" w:cs="Arial"/>
          <w:color w:val="010000"/>
          <w:sz w:val="20"/>
        </w:rPr>
        <w:t xml:space="preserve">VND 216 million (6 non-executive managers of the </w:t>
      </w:r>
      <w:r w:rsidR="00082F4F" w:rsidRPr="00082F4F">
        <w:rPr>
          <w:rFonts w:ascii="Arial" w:hAnsi="Arial" w:cs="Arial"/>
          <w:color w:val="010000"/>
          <w:sz w:val="20"/>
        </w:rPr>
        <w:t>C</w:t>
      </w:r>
      <w:r w:rsidRPr="00082F4F">
        <w:rPr>
          <w:rFonts w:ascii="Arial" w:hAnsi="Arial" w:cs="Arial"/>
          <w:color w:val="010000"/>
          <w:sz w:val="20"/>
        </w:rPr>
        <w:t xml:space="preserve">ompany </w:t>
      </w:r>
      <w:r w:rsidR="00082F4F" w:rsidRPr="00082F4F">
        <w:rPr>
          <w:rFonts w:ascii="Arial" w:hAnsi="Arial" w:cs="Arial"/>
          <w:color w:val="010000"/>
          <w:sz w:val="20"/>
        </w:rPr>
        <w:t xml:space="preserve">being </w:t>
      </w:r>
      <w:r w:rsidRPr="00082F4F">
        <w:rPr>
          <w:rFonts w:ascii="Arial" w:hAnsi="Arial" w:cs="Arial"/>
          <w:color w:val="010000"/>
          <w:sz w:val="20"/>
        </w:rPr>
        <w:t>VND 146 million).</w:t>
      </w:r>
      <w:r w:rsidR="00082F4F" w:rsidRPr="00082F4F">
        <w:rPr>
          <w:rFonts w:ascii="Arial" w:hAnsi="Arial" w:cs="Arial"/>
          <w:color w:val="010000"/>
          <w:sz w:val="20"/>
        </w:rPr>
        <w:t xml:space="preserve"> </w:t>
      </w:r>
    </w:p>
    <w:p w14:paraId="48C69730" w14:textId="77777777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‎‎Article 6 Approve the profit distribution, </w:t>
      </w:r>
      <w:r w:rsidR="00960C46" w:rsidRPr="00082F4F">
        <w:rPr>
          <w:rFonts w:ascii="Arial" w:hAnsi="Arial" w:cs="Arial"/>
          <w:color w:val="010000"/>
          <w:sz w:val="20"/>
        </w:rPr>
        <w:t xml:space="preserve">and </w:t>
      </w:r>
      <w:r w:rsidRPr="00082F4F">
        <w:rPr>
          <w:rFonts w:ascii="Arial" w:hAnsi="Arial" w:cs="Arial"/>
          <w:color w:val="010000"/>
          <w:sz w:val="20"/>
        </w:rPr>
        <w:t>appropriation for funds 2023:</w:t>
      </w:r>
    </w:p>
    <w:tbl>
      <w:tblPr>
        <w:tblStyle w:val="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6211"/>
        <w:gridCol w:w="1931"/>
      </w:tblGrid>
      <w:tr w:rsidR="00C80E30" w:rsidRPr="00082F4F" w14:paraId="0AC1C5AA" w14:textId="77777777" w:rsidTr="00D64302">
        <w:tc>
          <w:tcPr>
            <w:tcW w:w="485" w:type="pct"/>
            <w:shd w:val="clear" w:color="auto" w:fill="auto"/>
            <w:vAlign w:val="center"/>
          </w:tcPr>
          <w:p w14:paraId="05A2F31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57548D59" w14:textId="16484085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right" w:pos="3200"/>
                <w:tab w:val="left" w:pos="326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 Target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1BF80E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Value (VND)</w:t>
            </w:r>
          </w:p>
        </w:tc>
      </w:tr>
      <w:tr w:rsidR="00C80E30" w:rsidRPr="00082F4F" w14:paraId="3B557C15" w14:textId="77777777" w:rsidTr="00D64302">
        <w:tc>
          <w:tcPr>
            <w:tcW w:w="485" w:type="pct"/>
            <w:shd w:val="clear" w:color="auto" w:fill="auto"/>
            <w:vAlign w:val="center"/>
          </w:tcPr>
          <w:p w14:paraId="46C8BBC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1DD7F9BD" w14:textId="10E8A4DD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Profit after tax according to </w:t>
            </w:r>
            <w:r w:rsidR="00082F4F" w:rsidRPr="00082F4F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082F4F">
              <w:rPr>
                <w:rFonts w:ascii="Arial" w:hAnsi="Arial" w:cs="Arial"/>
                <w:color w:val="010000"/>
                <w:sz w:val="20"/>
              </w:rPr>
              <w:t>Audited Financial Statements 2023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1948F9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794,671,357</w:t>
            </w:r>
          </w:p>
        </w:tc>
      </w:tr>
      <w:tr w:rsidR="00C80E30" w:rsidRPr="00082F4F" w14:paraId="102C4B24" w14:textId="77777777" w:rsidTr="00D64302">
        <w:tc>
          <w:tcPr>
            <w:tcW w:w="485" w:type="pct"/>
            <w:shd w:val="clear" w:color="auto" w:fill="auto"/>
            <w:vAlign w:val="center"/>
          </w:tcPr>
          <w:p w14:paraId="5985FE81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04818E1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877"/>
                <w:tab w:val="left" w:pos="5054"/>
                <w:tab w:val="left" w:pos="512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 xml:space="preserve">Remuneration of the Board of Directors and the Supervisory Board 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356338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22,950,000</w:t>
            </w:r>
          </w:p>
        </w:tc>
      </w:tr>
      <w:tr w:rsidR="00C80E30" w:rsidRPr="00082F4F" w14:paraId="59482242" w14:textId="77777777" w:rsidTr="00D64302">
        <w:tc>
          <w:tcPr>
            <w:tcW w:w="485" w:type="pct"/>
            <w:shd w:val="clear" w:color="auto" w:fill="auto"/>
            <w:vAlign w:val="center"/>
          </w:tcPr>
          <w:p w14:paraId="0E4B57DB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7B7633B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Investment and development fund (10%)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0ABC8EF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77,172,136</w:t>
            </w:r>
          </w:p>
        </w:tc>
      </w:tr>
      <w:tr w:rsidR="00C80E30" w:rsidRPr="00082F4F" w14:paraId="66180263" w14:textId="77777777" w:rsidTr="00D64302">
        <w:tc>
          <w:tcPr>
            <w:tcW w:w="485" w:type="pct"/>
            <w:shd w:val="clear" w:color="auto" w:fill="auto"/>
            <w:vAlign w:val="center"/>
          </w:tcPr>
          <w:p w14:paraId="3F5728F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0DCBCC73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Bonus and welfare fund (10%)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6F1225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77,172,136</w:t>
            </w:r>
          </w:p>
        </w:tc>
      </w:tr>
      <w:tr w:rsidR="00C80E30" w:rsidRPr="00082F4F" w14:paraId="025B27A7" w14:textId="77777777" w:rsidTr="00D64302">
        <w:tc>
          <w:tcPr>
            <w:tcW w:w="485" w:type="pct"/>
            <w:shd w:val="clear" w:color="auto" w:fill="auto"/>
            <w:vAlign w:val="center"/>
          </w:tcPr>
          <w:p w14:paraId="42206DDA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71230E8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Dividend payment (4.5%/year)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8F10BB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1,215,000,000</w:t>
            </w:r>
          </w:p>
        </w:tc>
      </w:tr>
      <w:tr w:rsidR="00C80E30" w:rsidRPr="00082F4F" w14:paraId="165F5169" w14:textId="77777777" w:rsidTr="00D64302">
        <w:tc>
          <w:tcPr>
            <w:tcW w:w="485" w:type="pct"/>
            <w:shd w:val="clear" w:color="auto" w:fill="auto"/>
            <w:vAlign w:val="center"/>
          </w:tcPr>
          <w:p w14:paraId="7E0CDFAC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3444" w:type="pct"/>
            <w:shd w:val="clear" w:color="auto" w:fill="auto"/>
            <w:vAlign w:val="center"/>
          </w:tcPr>
          <w:p w14:paraId="4EEDB78E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Accumulated remaining profit, including:</w:t>
            </w:r>
          </w:p>
          <w:p w14:paraId="10A7ACEA" w14:textId="77777777" w:rsidR="00C80E30" w:rsidRPr="00082F4F" w:rsidRDefault="0033560D" w:rsidP="00082F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Profit from liquidation</w:t>
            </w:r>
          </w:p>
          <w:p w14:paraId="0BA136D2" w14:textId="77777777" w:rsidR="00C80E30" w:rsidRPr="00082F4F" w:rsidRDefault="0033560D" w:rsidP="00082F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Profit from production and business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2C0D767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1,910,596,024</w:t>
            </w:r>
          </w:p>
          <w:p w14:paraId="7B145E56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914,253,011</w:t>
            </w:r>
          </w:p>
          <w:p w14:paraId="5773F3DD" w14:textId="77777777" w:rsidR="00C80E30" w:rsidRPr="00082F4F" w:rsidRDefault="0033560D" w:rsidP="0008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82F4F">
              <w:rPr>
                <w:rFonts w:ascii="Arial" w:hAnsi="Arial" w:cs="Arial"/>
                <w:color w:val="010000"/>
                <w:sz w:val="20"/>
              </w:rPr>
              <w:t>996,343,013</w:t>
            </w:r>
          </w:p>
        </w:tc>
      </w:tr>
    </w:tbl>
    <w:p w14:paraId="61C2E0BD" w14:textId="77777777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>Article 7. Approve selecting an audit company and authorizing the Board of Directors to select an audit company for the Financial Statements 2024</w:t>
      </w:r>
      <w:r w:rsidR="00D64302" w:rsidRPr="00082F4F">
        <w:rPr>
          <w:rFonts w:ascii="Arial" w:hAnsi="Arial" w:cs="Arial"/>
          <w:color w:val="010000"/>
          <w:sz w:val="20"/>
        </w:rPr>
        <w:t xml:space="preserve"> </w:t>
      </w:r>
      <w:r w:rsidRPr="00082F4F">
        <w:rPr>
          <w:rFonts w:ascii="Arial" w:hAnsi="Arial" w:cs="Arial"/>
          <w:color w:val="010000"/>
          <w:sz w:val="20"/>
        </w:rPr>
        <w:t xml:space="preserve">based on criteria compliant with the law and the company's Charter. </w:t>
      </w:r>
    </w:p>
    <w:p w14:paraId="0C34AA53" w14:textId="77777777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Article 8: Approve the implementation of projects using </w:t>
      </w:r>
      <w:r w:rsidR="00960C46" w:rsidRPr="00082F4F">
        <w:rPr>
          <w:rFonts w:ascii="Arial" w:hAnsi="Arial" w:cs="Arial"/>
          <w:color w:val="010000"/>
          <w:sz w:val="20"/>
        </w:rPr>
        <w:t xml:space="preserve">own </w:t>
      </w:r>
      <w:r w:rsidRPr="00082F4F">
        <w:rPr>
          <w:rFonts w:ascii="Arial" w:hAnsi="Arial" w:cs="Arial"/>
          <w:color w:val="010000"/>
          <w:sz w:val="20"/>
        </w:rPr>
        <w:t xml:space="preserve">capital and other legally mobilized capital: </w:t>
      </w:r>
    </w:p>
    <w:p w14:paraId="5B76E8B3" w14:textId="77777777" w:rsidR="00C80E30" w:rsidRPr="00082F4F" w:rsidRDefault="0033560D" w:rsidP="0008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Implement the project of </w:t>
      </w:r>
      <w:r w:rsidR="00960C46" w:rsidRPr="00082F4F">
        <w:rPr>
          <w:rFonts w:ascii="Arial" w:hAnsi="Arial" w:cs="Arial"/>
          <w:color w:val="010000"/>
          <w:sz w:val="20"/>
        </w:rPr>
        <w:t xml:space="preserve">constructing </w:t>
      </w:r>
      <w:r w:rsidRPr="00082F4F">
        <w:rPr>
          <w:rFonts w:ascii="Arial" w:hAnsi="Arial" w:cs="Arial"/>
          <w:color w:val="010000"/>
          <w:sz w:val="20"/>
        </w:rPr>
        <w:t>the water supply pipeline for the Dambri model rural residential area and Dambri Commune</w:t>
      </w:r>
    </w:p>
    <w:p w14:paraId="7BC9FDDB" w14:textId="77777777" w:rsidR="00C80E30" w:rsidRPr="00082F4F" w:rsidRDefault="0033560D" w:rsidP="0008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7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Implement the project of </w:t>
      </w:r>
      <w:r w:rsidR="00960C46" w:rsidRPr="00082F4F">
        <w:rPr>
          <w:rFonts w:ascii="Arial" w:hAnsi="Arial" w:cs="Arial"/>
          <w:color w:val="010000"/>
          <w:sz w:val="20"/>
        </w:rPr>
        <w:t xml:space="preserve">constructing </w:t>
      </w:r>
      <w:r w:rsidRPr="00082F4F">
        <w:rPr>
          <w:rFonts w:ascii="Arial" w:hAnsi="Arial" w:cs="Arial"/>
          <w:color w:val="010000"/>
          <w:sz w:val="20"/>
        </w:rPr>
        <w:t>water supply pipelines for Loc Thanh Commune.</w:t>
      </w:r>
    </w:p>
    <w:p w14:paraId="0F1CAACE" w14:textId="77777777" w:rsidR="00C80E30" w:rsidRPr="00082F4F" w:rsidRDefault="0033560D" w:rsidP="0008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Implement the project of </w:t>
      </w:r>
      <w:r w:rsidR="00960C46" w:rsidRPr="00082F4F">
        <w:rPr>
          <w:rFonts w:ascii="Arial" w:hAnsi="Arial" w:cs="Arial"/>
          <w:color w:val="010000"/>
          <w:sz w:val="20"/>
        </w:rPr>
        <w:t xml:space="preserve">constructing </w:t>
      </w:r>
      <w:r w:rsidRPr="00082F4F">
        <w:rPr>
          <w:rFonts w:ascii="Arial" w:hAnsi="Arial" w:cs="Arial"/>
          <w:color w:val="010000"/>
          <w:sz w:val="20"/>
        </w:rPr>
        <w:t>safe water reserve regulating tanks, warehouses, and operational buildings (phase 1).</w:t>
      </w:r>
    </w:p>
    <w:p w14:paraId="59D15835" w14:textId="77777777" w:rsidR="00C80E30" w:rsidRPr="00082F4F" w:rsidRDefault="0033560D" w:rsidP="00082F4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>Article 9: Terms of enforcement</w:t>
      </w:r>
    </w:p>
    <w:p w14:paraId="4F31CC02" w14:textId="62B9A093" w:rsidR="00C80E30" w:rsidRPr="00082F4F" w:rsidRDefault="0033560D" w:rsidP="0008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This General Mandate </w:t>
      </w:r>
      <w:r w:rsidR="00082F4F" w:rsidRPr="00082F4F">
        <w:rPr>
          <w:rFonts w:ascii="Arial" w:hAnsi="Arial" w:cs="Arial"/>
          <w:color w:val="010000"/>
          <w:sz w:val="20"/>
        </w:rPr>
        <w:t>is</w:t>
      </w:r>
      <w:r w:rsidRPr="00082F4F">
        <w:rPr>
          <w:rFonts w:ascii="Arial" w:hAnsi="Arial" w:cs="Arial"/>
          <w:color w:val="010000"/>
          <w:sz w:val="20"/>
        </w:rPr>
        <w:t xml:space="preserve"> approved by the Annual General Meeting of Shareholders 2024 and takes effect from the date of its </w:t>
      </w:r>
      <w:r w:rsidR="00960C46" w:rsidRPr="00082F4F">
        <w:rPr>
          <w:rFonts w:ascii="Arial" w:hAnsi="Arial" w:cs="Arial"/>
          <w:color w:val="010000"/>
          <w:sz w:val="20"/>
        </w:rPr>
        <w:t>approval</w:t>
      </w:r>
      <w:r w:rsidRPr="00082F4F">
        <w:rPr>
          <w:rFonts w:ascii="Arial" w:hAnsi="Arial" w:cs="Arial"/>
          <w:color w:val="010000"/>
          <w:sz w:val="20"/>
        </w:rPr>
        <w:t xml:space="preserve">. </w:t>
      </w:r>
    </w:p>
    <w:p w14:paraId="446C5200" w14:textId="02B95086" w:rsidR="00C80E30" w:rsidRPr="00082F4F" w:rsidRDefault="0033560D" w:rsidP="0008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82F4F">
        <w:rPr>
          <w:rFonts w:ascii="Arial" w:hAnsi="Arial" w:cs="Arial"/>
          <w:color w:val="010000"/>
          <w:sz w:val="20"/>
        </w:rPr>
        <w:t xml:space="preserve">Members of the Board of Directors, the Supervisory Board, and all shareholders of Bao Loc </w:t>
      </w:r>
      <w:r w:rsidRPr="00082F4F">
        <w:rPr>
          <w:rFonts w:ascii="Arial" w:hAnsi="Arial" w:cs="Arial"/>
          <w:color w:val="010000"/>
          <w:sz w:val="20"/>
        </w:rPr>
        <w:lastRenderedPageBreak/>
        <w:t xml:space="preserve">Supply Sewerage and Construction Joint Stock Company are responsible for implementing this General Mandate and organizing </w:t>
      </w:r>
      <w:r w:rsidR="00082F4F" w:rsidRPr="00082F4F">
        <w:rPr>
          <w:rFonts w:ascii="Arial" w:hAnsi="Arial" w:cs="Arial"/>
          <w:color w:val="010000"/>
          <w:sz w:val="20"/>
        </w:rPr>
        <w:t>the implementation on the basis of</w:t>
      </w:r>
      <w:r w:rsidRPr="00082F4F">
        <w:rPr>
          <w:rFonts w:ascii="Arial" w:hAnsi="Arial" w:cs="Arial"/>
          <w:color w:val="010000"/>
          <w:sz w:val="20"/>
        </w:rPr>
        <w:t xml:space="preserve"> their </w:t>
      </w:r>
      <w:r w:rsidR="00082F4F" w:rsidRPr="00082F4F">
        <w:rPr>
          <w:rFonts w:ascii="Arial" w:hAnsi="Arial" w:cs="Arial"/>
          <w:color w:val="010000"/>
          <w:sz w:val="20"/>
        </w:rPr>
        <w:t>authorities and</w:t>
      </w:r>
      <w:r w:rsidRPr="00082F4F">
        <w:rPr>
          <w:rFonts w:ascii="Arial" w:hAnsi="Arial" w:cs="Arial"/>
          <w:color w:val="010000"/>
          <w:sz w:val="20"/>
        </w:rPr>
        <w:t xml:space="preserve"> functions in accordance with the provisions of the law and the Company’s Charter.</w:t>
      </w:r>
    </w:p>
    <w:sectPr w:rsidR="00C80E30" w:rsidRPr="00082F4F" w:rsidSect="00D6430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571"/>
    <w:multiLevelType w:val="multilevel"/>
    <w:tmpl w:val="700C181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742509"/>
    <w:multiLevelType w:val="multilevel"/>
    <w:tmpl w:val="EF8E9F9A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9A453D"/>
    <w:multiLevelType w:val="multilevel"/>
    <w:tmpl w:val="0FD265B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7647F97"/>
    <w:multiLevelType w:val="multilevel"/>
    <w:tmpl w:val="E4F40FEE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610D59"/>
    <w:multiLevelType w:val="multilevel"/>
    <w:tmpl w:val="2CA62E4A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61767F"/>
    <w:multiLevelType w:val="multilevel"/>
    <w:tmpl w:val="531E411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DCC6AA1"/>
    <w:multiLevelType w:val="multilevel"/>
    <w:tmpl w:val="059C796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E866086"/>
    <w:multiLevelType w:val="multilevel"/>
    <w:tmpl w:val="736A40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2DD4DC6"/>
    <w:multiLevelType w:val="multilevel"/>
    <w:tmpl w:val="3050D022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98625F"/>
    <w:multiLevelType w:val="multilevel"/>
    <w:tmpl w:val="621899F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E4A7A"/>
    <w:multiLevelType w:val="multilevel"/>
    <w:tmpl w:val="F5CC4D0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30"/>
    <w:rsid w:val="00082F4F"/>
    <w:rsid w:val="000D4424"/>
    <w:rsid w:val="0033560D"/>
    <w:rsid w:val="004F7335"/>
    <w:rsid w:val="00914002"/>
    <w:rsid w:val="00960C46"/>
    <w:rsid w:val="00C80E30"/>
    <w:rsid w:val="00CF4992"/>
    <w:rsid w:val="00D64302"/>
    <w:rsid w:val="00D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75A35"/>
  <w15:docId w15:val="{925A84D7-DAB5-4375-BC3A-585D245C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1118"/>
      <w:sz w:val="18"/>
      <w:szCs w:val="1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/>
      <w:bCs/>
      <w:i w:val="0"/>
      <w:iCs w:val="0"/>
      <w:smallCaps w:val="0"/>
      <w:strike w:val="0"/>
      <w:color w:val="CB4660"/>
      <w:w w:val="70"/>
      <w:sz w:val="18"/>
      <w:szCs w:val="1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6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59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pPr>
      <w:spacing w:line="247" w:lineRule="auto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33" w:lineRule="auto"/>
    </w:pPr>
    <w:rPr>
      <w:rFonts w:ascii="Times New Roman" w:eastAsia="Times New Roman" w:hAnsi="Times New Roman" w:cs="Times New Roman"/>
      <w:color w:val="2F1118"/>
      <w:sz w:val="18"/>
      <w:szCs w:val="18"/>
    </w:rPr>
  </w:style>
  <w:style w:type="paragraph" w:customStyle="1" w:styleId="Bodytext50">
    <w:name w:val="Body text (5)"/>
    <w:basedOn w:val="Normal"/>
    <w:link w:val="Bodytext5"/>
    <w:rPr>
      <w:rFonts w:ascii="Segoe UI" w:eastAsia="Segoe UI" w:hAnsi="Segoe UI" w:cs="Segoe UI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307" w:lineRule="auto"/>
    </w:pPr>
    <w:rPr>
      <w:rFonts w:ascii="Arial" w:eastAsia="Arial" w:hAnsi="Arial" w:cs="Arial"/>
      <w:sz w:val="15"/>
      <w:szCs w:val="15"/>
    </w:rPr>
  </w:style>
  <w:style w:type="paragraph" w:customStyle="1" w:styleId="Tableofcontents0">
    <w:name w:val="Table of contents"/>
    <w:basedOn w:val="Normal"/>
    <w:link w:val="Tableofcontents"/>
    <w:pPr>
      <w:spacing w:line="230" w:lineRule="auto"/>
    </w:pPr>
    <w:rPr>
      <w:rFonts w:ascii="Arial" w:eastAsia="Arial" w:hAnsi="Arial" w:cs="Arial"/>
      <w:b/>
      <w:bCs/>
      <w:color w:val="CB4660"/>
      <w:w w:val="70"/>
      <w:sz w:val="18"/>
      <w:szCs w:val="18"/>
    </w:rPr>
  </w:style>
  <w:style w:type="paragraph" w:customStyle="1" w:styleId="Bodytext40">
    <w:name w:val="Body text (4)"/>
    <w:basedOn w:val="Normal"/>
    <w:link w:val="Bodytext4"/>
    <w:pPr>
      <w:spacing w:line="257" w:lineRule="auto"/>
      <w:ind w:left="2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33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Gz6J0tbfiRhlvWaI2jOzigmLQA==">CgMxLjAyCGguZ2pkZ3hzOAByITExemxPcEktNERNRmNzVlNhSVpYdnJCU3pGRTJkUXFuQw==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1308</Words>
  <Characters>7208</Characters>
  <Application>Microsoft Office Word</Application>
  <DocSecurity>0</DocSecurity>
  <Lines>364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12</cp:revision>
  <dcterms:created xsi:type="dcterms:W3CDTF">2024-05-21T03:26:00Z</dcterms:created>
  <dcterms:modified xsi:type="dcterms:W3CDTF">2024-05-23T01:29:00Z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bd775b6e3b0b6dbccb05d0cb2b3e19e69ff8b239157b4219b05c873971477a4a</vt:lpwstr>
  </property>
</Properties>
</file>