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0639" w14:textId="77777777" w:rsidR="00087F19" w:rsidRPr="007866F5" w:rsidRDefault="00087F19" w:rsidP="00AD4D7C">
      <w:pPr>
        <w:pStyle w:val="Vnbnnidung0"/>
        <w:tabs>
          <w:tab w:val="left" w:pos="5710"/>
        </w:tabs>
        <w:spacing w:after="120" w:line="360" w:lineRule="auto"/>
        <w:rPr>
          <w:rFonts w:ascii="Arial" w:hAnsi="Arial" w:cs="Arial"/>
          <w:b/>
          <w:bCs/>
          <w:color w:val="010000"/>
          <w:sz w:val="20"/>
        </w:rPr>
      </w:pPr>
      <w:r w:rsidRPr="007866F5">
        <w:rPr>
          <w:rFonts w:ascii="Arial" w:hAnsi="Arial" w:cs="Arial"/>
          <w:b/>
          <w:color w:val="010000"/>
          <w:sz w:val="20"/>
        </w:rPr>
        <w:t>DCF: Board Resolution</w:t>
      </w:r>
    </w:p>
    <w:p w14:paraId="47B37373" w14:textId="77777777" w:rsidR="00087F19" w:rsidRPr="007866F5" w:rsidRDefault="00087F19" w:rsidP="00AD4D7C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7866F5">
        <w:rPr>
          <w:rFonts w:ascii="Arial" w:hAnsi="Arial" w:cs="Arial"/>
          <w:color w:val="010000"/>
          <w:sz w:val="20"/>
        </w:rPr>
        <w:t>On May 20, 2024, Design and Construction Join Stock Company No.1 announced Resolution No. 11/2024/NQ-HDQT as follows:</w:t>
      </w:r>
      <w:r w:rsidR="00AD4D7C" w:rsidRPr="007866F5">
        <w:rPr>
          <w:rFonts w:ascii="Arial" w:hAnsi="Arial" w:cs="Arial"/>
          <w:color w:val="010000"/>
          <w:sz w:val="20"/>
        </w:rPr>
        <w:t xml:space="preserve"> </w:t>
      </w:r>
    </w:p>
    <w:p w14:paraId="4A60EC33" w14:textId="7F65DFAF" w:rsidR="00905A9B" w:rsidRPr="007866F5" w:rsidRDefault="005908F3" w:rsidP="00AD4D7C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7866F5">
        <w:rPr>
          <w:rFonts w:ascii="Arial" w:hAnsi="Arial" w:cs="Arial"/>
          <w:color w:val="010000"/>
          <w:sz w:val="20"/>
        </w:rPr>
        <w:t xml:space="preserve">‎‎Article 1. Agree to approve the implementation of </w:t>
      </w:r>
      <w:r w:rsidR="007866F5" w:rsidRPr="007866F5">
        <w:rPr>
          <w:rFonts w:ascii="Arial" w:hAnsi="Arial" w:cs="Arial"/>
          <w:color w:val="010000"/>
          <w:sz w:val="20"/>
        </w:rPr>
        <w:t xml:space="preserve">a </w:t>
      </w:r>
      <w:r w:rsidRPr="007866F5">
        <w:rPr>
          <w:rFonts w:ascii="Arial" w:hAnsi="Arial" w:cs="Arial"/>
          <w:color w:val="010000"/>
          <w:sz w:val="20"/>
        </w:rPr>
        <w:t>plan on share issuance to increase share capital from the source of owners' equity according to the Annual General Mandate 2024</w:t>
      </w:r>
      <w:r w:rsidR="007866F5" w:rsidRPr="007866F5">
        <w:rPr>
          <w:rFonts w:ascii="Arial" w:hAnsi="Arial" w:cs="Arial"/>
          <w:color w:val="010000"/>
          <w:sz w:val="20"/>
        </w:rPr>
        <w:t>,</w:t>
      </w:r>
      <w:r w:rsidRPr="007866F5">
        <w:rPr>
          <w:rFonts w:ascii="Arial" w:hAnsi="Arial" w:cs="Arial"/>
          <w:color w:val="010000"/>
          <w:sz w:val="20"/>
        </w:rPr>
        <w:t xml:space="preserve"> specifically as follows: 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337"/>
      </w:tblGrid>
      <w:tr w:rsidR="00905A9B" w:rsidRPr="007866F5" w14:paraId="62A824DD" w14:textId="77777777" w:rsidTr="00FE205D">
        <w:tc>
          <w:tcPr>
            <w:tcW w:w="2044" w:type="pct"/>
            <w:shd w:val="clear" w:color="auto" w:fill="auto"/>
            <w:vAlign w:val="center"/>
          </w:tcPr>
          <w:p w14:paraId="0352502D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Issuer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7DA7431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Design and Construction Join Stock Company No.1</w:t>
            </w:r>
          </w:p>
        </w:tc>
      </w:tr>
      <w:tr w:rsidR="00905A9B" w:rsidRPr="007866F5" w14:paraId="5A222F0C" w14:textId="77777777" w:rsidTr="00FE205D">
        <w:tc>
          <w:tcPr>
            <w:tcW w:w="2044" w:type="pct"/>
            <w:shd w:val="clear" w:color="auto" w:fill="auto"/>
            <w:vAlign w:val="center"/>
          </w:tcPr>
          <w:p w14:paraId="679B116F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Name of the issued share: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2F8B41A" w14:textId="77777777" w:rsidR="00905A9B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Share of Design and Construction Join Stock Company No.1</w:t>
            </w:r>
          </w:p>
        </w:tc>
      </w:tr>
      <w:tr w:rsidR="00905A9B" w:rsidRPr="007866F5" w14:paraId="4B612402" w14:textId="77777777" w:rsidTr="00FE205D">
        <w:tc>
          <w:tcPr>
            <w:tcW w:w="2044" w:type="pct"/>
            <w:shd w:val="clear" w:color="auto" w:fill="auto"/>
            <w:vAlign w:val="center"/>
          </w:tcPr>
          <w:p w14:paraId="6C73C4E3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Security code: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0551707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DCF</w:t>
            </w:r>
          </w:p>
        </w:tc>
      </w:tr>
      <w:tr w:rsidR="00905A9B" w:rsidRPr="007866F5" w14:paraId="39134308" w14:textId="77777777" w:rsidTr="00FE205D">
        <w:tc>
          <w:tcPr>
            <w:tcW w:w="2044" w:type="pct"/>
            <w:shd w:val="clear" w:color="auto" w:fill="auto"/>
            <w:vAlign w:val="center"/>
          </w:tcPr>
          <w:p w14:paraId="68AF50F8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Share type: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8C217AE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Common share</w:t>
            </w:r>
          </w:p>
        </w:tc>
      </w:tr>
      <w:tr w:rsidR="00905A9B" w:rsidRPr="007866F5" w14:paraId="2595CE45" w14:textId="77777777" w:rsidTr="00FE205D">
        <w:tc>
          <w:tcPr>
            <w:tcW w:w="2044" w:type="pct"/>
            <w:shd w:val="clear" w:color="auto" w:fill="auto"/>
            <w:vAlign w:val="center"/>
          </w:tcPr>
          <w:p w14:paraId="32FF550F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Type of currency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86F0169" w14:textId="77777777" w:rsidR="00905A9B" w:rsidRPr="007866F5" w:rsidRDefault="005908F3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Vietnamese Dong (VND)</w:t>
            </w:r>
          </w:p>
        </w:tc>
      </w:tr>
      <w:tr w:rsidR="00087F19" w:rsidRPr="007866F5" w14:paraId="7D92573D" w14:textId="77777777" w:rsidTr="00FE205D">
        <w:tc>
          <w:tcPr>
            <w:tcW w:w="2044" w:type="pct"/>
            <w:shd w:val="clear" w:color="auto" w:fill="auto"/>
            <w:vAlign w:val="center"/>
          </w:tcPr>
          <w:p w14:paraId="7F16FE96" w14:textId="77777777" w:rsidR="00087F19" w:rsidRPr="007866F5" w:rsidRDefault="00087F19" w:rsidP="00AD4D7C">
            <w:pPr>
              <w:pStyle w:val="Chthchbng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Par value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031B24F" w14:textId="77777777" w:rsidR="00087F19" w:rsidRPr="007866F5" w:rsidRDefault="00087F19" w:rsidP="00AD4D7C">
            <w:pPr>
              <w:pStyle w:val="Chthchbng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VND 10,000/share</w:t>
            </w:r>
          </w:p>
        </w:tc>
      </w:tr>
      <w:tr w:rsidR="00087F19" w:rsidRPr="007866F5" w14:paraId="276AC731" w14:textId="77777777" w:rsidTr="00FE205D">
        <w:tc>
          <w:tcPr>
            <w:tcW w:w="2044" w:type="pct"/>
            <w:shd w:val="clear" w:color="auto" w:fill="auto"/>
            <w:vAlign w:val="center"/>
          </w:tcPr>
          <w:p w14:paraId="7229B77E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Charter capital before the issuance: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5715230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VND 300,000,000,000</w:t>
            </w:r>
          </w:p>
        </w:tc>
      </w:tr>
      <w:tr w:rsidR="00087F19" w:rsidRPr="007866F5" w14:paraId="435CF7DE" w14:textId="77777777" w:rsidTr="00FE205D">
        <w:tc>
          <w:tcPr>
            <w:tcW w:w="2044" w:type="pct"/>
            <w:shd w:val="clear" w:color="auto" w:fill="auto"/>
            <w:vAlign w:val="center"/>
          </w:tcPr>
          <w:p w14:paraId="46686EC7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Number of outstanding shares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F6EA92D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30,000,000 shares</w:t>
            </w:r>
          </w:p>
        </w:tc>
      </w:tr>
      <w:tr w:rsidR="00087F19" w:rsidRPr="007866F5" w14:paraId="51316F24" w14:textId="77777777" w:rsidTr="00FE205D">
        <w:tc>
          <w:tcPr>
            <w:tcW w:w="2044" w:type="pct"/>
            <w:shd w:val="clear" w:color="auto" w:fill="auto"/>
            <w:vAlign w:val="center"/>
          </w:tcPr>
          <w:p w14:paraId="609DD54A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Number of treasury shares: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20C6954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0 shares</w:t>
            </w:r>
          </w:p>
        </w:tc>
      </w:tr>
      <w:tr w:rsidR="00087F19" w:rsidRPr="007866F5" w14:paraId="74CD770A" w14:textId="77777777" w:rsidTr="00FE205D">
        <w:tc>
          <w:tcPr>
            <w:tcW w:w="2044" w:type="pct"/>
            <w:shd w:val="clear" w:color="auto" w:fill="auto"/>
            <w:vAlign w:val="center"/>
          </w:tcPr>
          <w:p w14:paraId="708197AF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Number of shares expected to be issued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6A50C16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10,000,000 shares</w:t>
            </w:r>
          </w:p>
        </w:tc>
      </w:tr>
      <w:tr w:rsidR="00087F19" w:rsidRPr="007866F5" w14:paraId="4F46CF4D" w14:textId="77777777" w:rsidTr="00FE205D">
        <w:tc>
          <w:tcPr>
            <w:tcW w:w="2044" w:type="pct"/>
            <w:shd w:val="clear" w:color="auto" w:fill="auto"/>
            <w:vAlign w:val="center"/>
          </w:tcPr>
          <w:p w14:paraId="095CACAD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Total value of shares expected to be issued at par value: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3592E02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VND 100,000,000,000</w:t>
            </w:r>
          </w:p>
        </w:tc>
      </w:tr>
      <w:tr w:rsidR="00452987" w:rsidRPr="007866F5" w14:paraId="0EA05E8C" w14:textId="77777777" w:rsidTr="00FE205D">
        <w:tc>
          <w:tcPr>
            <w:tcW w:w="2044" w:type="pct"/>
            <w:shd w:val="clear" w:color="auto" w:fill="auto"/>
            <w:vAlign w:val="center"/>
          </w:tcPr>
          <w:p w14:paraId="6A8BAF3C" w14:textId="77777777" w:rsidR="00452987" w:rsidRPr="007866F5" w:rsidRDefault="00452987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Subjects of issuance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BCE9114" w14:textId="6DC02F5D" w:rsidR="00452987" w:rsidRPr="007866F5" w:rsidRDefault="00452987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bookmarkStart w:id="0" w:name="_GoBack"/>
            <w:bookmarkEnd w:id="0"/>
            <w:r w:rsidRPr="007866F5">
              <w:rPr>
                <w:rFonts w:ascii="Arial" w:hAnsi="Arial" w:cs="Arial"/>
                <w:color w:val="010000"/>
                <w:sz w:val="20"/>
              </w:rPr>
              <w:t xml:space="preserve">Existing shareholders in the recorded list of shareholders 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>to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 exercise the right to receive the issued shares to increase share capital from the source of owners' equity according to regulations issued by Viet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>n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am Securities Depository and Clearing Corporation. </w:t>
            </w:r>
          </w:p>
        </w:tc>
      </w:tr>
      <w:tr w:rsidR="00087F19" w:rsidRPr="007866F5" w14:paraId="06F08712" w14:textId="77777777" w:rsidTr="00FE205D">
        <w:tc>
          <w:tcPr>
            <w:tcW w:w="2044" w:type="pct"/>
            <w:shd w:val="clear" w:color="auto" w:fill="auto"/>
            <w:vAlign w:val="center"/>
          </w:tcPr>
          <w:p w14:paraId="3957CFC4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Issuance method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8CA60CD" w14:textId="77777777" w:rsidR="00087F19" w:rsidRPr="007866F5" w:rsidRDefault="00452987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Issue to existing shareholders by the method of exercising the right.</w:t>
            </w:r>
          </w:p>
        </w:tc>
      </w:tr>
      <w:tr w:rsidR="00087F19" w:rsidRPr="007866F5" w14:paraId="5BB0BF54" w14:textId="77777777" w:rsidTr="00FE205D">
        <w:tc>
          <w:tcPr>
            <w:tcW w:w="2044" w:type="pct"/>
            <w:shd w:val="clear" w:color="auto" w:fill="auto"/>
            <w:vAlign w:val="center"/>
          </w:tcPr>
          <w:p w14:paraId="547A74E9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Issuance rate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8E3F166" w14:textId="77777777" w:rsidR="00087F19" w:rsidRPr="007866F5" w:rsidRDefault="00452987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33.33% (10,000,000 shares</w:t>
            </w:r>
            <w:r w:rsidR="00AD4D7C" w:rsidRPr="007866F5">
              <w:rPr>
                <w:rFonts w:ascii="Arial" w:hAnsi="Arial" w:cs="Arial"/>
                <w:color w:val="010000"/>
                <w:sz w:val="20"/>
              </w:rPr>
              <w:t>: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 30,000,000 shares). </w:t>
            </w:r>
          </w:p>
        </w:tc>
      </w:tr>
      <w:tr w:rsidR="00087F19" w:rsidRPr="007866F5" w14:paraId="757986BB" w14:textId="77777777" w:rsidTr="00FE205D">
        <w:tc>
          <w:tcPr>
            <w:tcW w:w="2044" w:type="pct"/>
            <w:shd w:val="clear" w:color="auto" w:fill="auto"/>
            <w:vAlign w:val="center"/>
          </w:tcPr>
          <w:p w14:paraId="26A8DB4D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Exercise rate: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6F1CE06" w14:textId="1B5BBE83" w:rsidR="00087F19" w:rsidRPr="007866F5" w:rsidRDefault="00452987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: 3:1 (Shareholders are entitled to 1 right 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 xml:space="preserve">to receive shares </w:t>
            </w:r>
            <w:r w:rsidRPr="007866F5">
              <w:rPr>
                <w:rFonts w:ascii="Arial" w:hAnsi="Arial" w:cs="Arial"/>
                <w:color w:val="010000"/>
                <w:sz w:val="20"/>
              </w:rPr>
              <w:t>for every 1 share they own,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 xml:space="preserve"> and receive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 1 new share for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 xml:space="preserve"> every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 3 rights). </w:t>
            </w:r>
          </w:p>
        </w:tc>
      </w:tr>
      <w:tr w:rsidR="00087F19" w:rsidRPr="007866F5" w14:paraId="6015E813" w14:textId="77777777" w:rsidTr="00FE205D">
        <w:tc>
          <w:tcPr>
            <w:tcW w:w="2044" w:type="pct"/>
            <w:shd w:val="clear" w:color="auto" w:fill="auto"/>
            <w:vAlign w:val="center"/>
          </w:tcPr>
          <w:p w14:paraId="5232A9DF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Capital source for implementation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CABA640" w14:textId="29A86BA0" w:rsidR="00087F19" w:rsidRPr="007866F5" w:rsidRDefault="00452987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Share premium</w:t>
            </w:r>
          </w:p>
        </w:tc>
      </w:tr>
      <w:tr w:rsidR="00087F19" w:rsidRPr="007866F5" w14:paraId="307521BF" w14:textId="77777777" w:rsidTr="00FE205D">
        <w:tc>
          <w:tcPr>
            <w:tcW w:w="2044" w:type="pct"/>
            <w:shd w:val="clear" w:color="auto" w:fill="auto"/>
            <w:vAlign w:val="center"/>
          </w:tcPr>
          <w:p w14:paraId="43750070" w14:textId="77777777" w:rsidR="00087F19" w:rsidRPr="007866F5" w:rsidRDefault="00087F19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Principle of rounding and handling the fractional shares(if any):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A9E92DD" w14:textId="77777777" w:rsidR="00087F19" w:rsidRPr="007866F5" w:rsidRDefault="00452987" w:rsidP="00AD4D7C">
            <w:pPr>
              <w:pStyle w:val="Vnbnnidung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: The number of additional issued shares owned by shareholders will be rounded down to the unit. Any </w:t>
            </w:r>
            <w:r w:rsidRPr="007866F5">
              <w:rPr>
                <w:rFonts w:ascii="Arial" w:hAnsi="Arial" w:cs="Arial"/>
                <w:color w:val="010000"/>
                <w:sz w:val="20"/>
              </w:rPr>
              <w:lastRenderedPageBreak/>
              <w:t>fractional shares resulting from rounding down (if any) will be canceled. For example:</w:t>
            </w:r>
            <w:r w:rsidR="00AD4D7C" w:rsidRPr="007866F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866F5">
              <w:rPr>
                <w:rFonts w:ascii="Arial" w:hAnsi="Arial" w:cs="Arial"/>
                <w:color w:val="010000"/>
                <w:sz w:val="20"/>
              </w:rPr>
              <w:t>On the record date for the list of shareholders, shareholder A owns 128 shares.</w:t>
            </w:r>
            <w:r w:rsidR="00AD4D7C" w:rsidRPr="007866F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866F5">
              <w:rPr>
                <w:rFonts w:ascii="Arial" w:hAnsi="Arial" w:cs="Arial"/>
                <w:color w:val="010000"/>
                <w:sz w:val="20"/>
              </w:rPr>
              <w:t>Then, shareholder A will receive 42.67 shares (=128 X 33.33%).</w:t>
            </w:r>
            <w:r w:rsidR="00AD4D7C" w:rsidRPr="007866F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866F5">
              <w:rPr>
                <w:rFonts w:ascii="Arial" w:hAnsi="Arial" w:cs="Arial"/>
                <w:color w:val="010000"/>
                <w:sz w:val="20"/>
              </w:rPr>
              <w:t>After rounding down to the unit, the actual number of shares shareholder A will receive is 42 shares.</w:t>
            </w:r>
            <w:r w:rsidR="00AD4D7C" w:rsidRPr="007866F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The fractional shares of 0.67 will be canceled. </w:t>
            </w:r>
          </w:p>
        </w:tc>
      </w:tr>
      <w:tr w:rsidR="00452987" w:rsidRPr="007866F5" w14:paraId="5091E5AF" w14:textId="77777777" w:rsidTr="00FE205D">
        <w:tc>
          <w:tcPr>
            <w:tcW w:w="2044" w:type="pct"/>
            <w:shd w:val="clear" w:color="auto" w:fill="auto"/>
            <w:vAlign w:val="center"/>
          </w:tcPr>
          <w:p w14:paraId="189C60CD" w14:textId="0DB78D5F" w:rsidR="00452987" w:rsidRPr="007866F5" w:rsidRDefault="00452987" w:rsidP="00AD4D7C">
            <w:pPr>
              <w:pStyle w:val="Vnbnnidung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Expected 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>implementation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 time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23A45BB" w14:textId="47EE8211" w:rsidR="00452987" w:rsidRPr="007866F5" w:rsidRDefault="00452987" w:rsidP="00AD4D7C">
            <w:pPr>
              <w:pStyle w:val="Vnbnnidung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 xml:space="preserve">: Within 45 days from the date of having 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State Securities Commission announced the receipt of all required reports and documents. </w:t>
            </w:r>
          </w:p>
        </w:tc>
      </w:tr>
      <w:tr w:rsidR="00452987" w:rsidRPr="007866F5" w14:paraId="40354175" w14:textId="77777777" w:rsidTr="00FE205D">
        <w:tc>
          <w:tcPr>
            <w:tcW w:w="2044" w:type="pct"/>
            <w:shd w:val="clear" w:color="auto" w:fill="auto"/>
            <w:vAlign w:val="center"/>
          </w:tcPr>
          <w:p w14:paraId="082540BF" w14:textId="77777777" w:rsidR="00452987" w:rsidRPr="007866F5" w:rsidRDefault="00452987" w:rsidP="00AD4D7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Registration for depository and additional listing of issued shares: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18318E85" w14:textId="1FFF809A" w:rsidR="00452987" w:rsidRPr="007866F5" w:rsidRDefault="00452987" w:rsidP="00AD4D7C">
            <w:pPr>
              <w:pStyle w:val="Vnbnnidung0"/>
              <w:tabs>
                <w:tab w:val="left" w:pos="3619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7866F5">
              <w:rPr>
                <w:rFonts w:ascii="Arial" w:hAnsi="Arial" w:cs="Arial"/>
                <w:color w:val="010000"/>
                <w:sz w:val="20"/>
              </w:rPr>
              <w:t>: The additional issued shares will be registered for supplemental registration at Viet</w:t>
            </w:r>
            <w:r w:rsidR="007866F5" w:rsidRPr="007866F5">
              <w:rPr>
                <w:rFonts w:ascii="Arial" w:hAnsi="Arial" w:cs="Arial"/>
                <w:color w:val="010000"/>
                <w:sz w:val="20"/>
              </w:rPr>
              <w:t>na</w:t>
            </w:r>
            <w:r w:rsidRPr="007866F5">
              <w:rPr>
                <w:rFonts w:ascii="Arial" w:hAnsi="Arial" w:cs="Arial"/>
                <w:color w:val="010000"/>
                <w:sz w:val="20"/>
              </w:rPr>
              <w:t xml:space="preserve">m Securities Depository and Clearing Corporation and registered for supplementary trading at the Hanoi Stock Exchange. </w:t>
            </w:r>
          </w:p>
        </w:tc>
      </w:tr>
    </w:tbl>
    <w:p w14:paraId="561D07BC" w14:textId="2E56093C" w:rsidR="00905A9B" w:rsidRPr="007866F5" w:rsidRDefault="005908F3" w:rsidP="00AD4D7C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7866F5">
        <w:rPr>
          <w:rFonts w:ascii="Arial" w:hAnsi="Arial" w:cs="Arial"/>
          <w:color w:val="010000"/>
          <w:sz w:val="20"/>
        </w:rPr>
        <w:t>Article 2.</w:t>
      </w:r>
      <w:r w:rsidR="00AD4D7C" w:rsidRPr="007866F5">
        <w:rPr>
          <w:rFonts w:ascii="Arial" w:hAnsi="Arial" w:cs="Arial"/>
          <w:color w:val="010000"/>
          <w:sz w:val="20"/>
        </w:rPr>
        <w:t xml:space="preserve"> </w:t>
      </w:r>
      <w:r w:rsidRPr="007866F5">
        <w:rPr>
          <w:rFonts w:ascii="Arial" w:hAnsi="Arial" w:cs="Arial"/>
          <w:color w:val="010000"/>
          <w:sz w:val="20"/>
        </w:rPr>
        <w:t>Authorize the General Manager to organize, implement the tasks and make relevant decisions to complete the issuance of shares</w:t>
      </w:r>
      <w:r w:rsidR="007866F5" w:rsidRPr="007866F5">
        <w:rPr>
          <w:rFonts w:ascii="Arial" w:hAnsi="Arial" w:cs="Arial"/>
          <w:color w:val="010000"/>
          <w:sz w:val="20"/>
        </w:rPr>
        <w:t xml:space="preserve"> to increase</w:t>
      </w:r>
      <w:r w:rsidRPr="007866F5">
        <w:rPr>
          <w:rFonts w:ascii="Arial" w:hAnsi="Arial" w:cs="Arial"/>
          <w:color w:val="010000"/>
          <w:sz w:val="20"/>
        </w:rPr>
        <w:t xml:space="preserve"> share capital from the source of owners' equity in accordance with legal regulations.</w:t>
      </w:r>
    </w:p>
    <w:p w14:paraId="549354B9" w14:textId="4CF6ED79" w:rsidR="00905A9B" w:rsidRPr="007866F5" w:rsidRDefault="005908F3" w:rsidP="00AD4D7C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7866F5">
        <w:rPr>
          <w:rFonts w:ascii="Arial" w:hAnsi="Arial" w:cs="Arial"/>
          <w:color w:val="010000"/>
          <w:sz w:val="20"/>
        </w:rPr>
        <w:t>‎‎Article 3. Members of the Board of Directors, the Supervisory Board, the Board of Management and other relevant departments and individuals</w:t>
      </w:r>
      <w:r w:rsidR="007866F5">
        <w:rPr>
          <w:rFonts w:ascii="Arial" w:hAnsi="Arial" w:cs="Arial"/>
          <w:color w:val="010000"/>
          <w:sz w:val="20"/>
        </w:rPr>
        <w:t xml:space="preserve"> </w:t>
      </w:r>
      <w:r w:rsidRPr="007866F5">
        <w:rPr>
          <w:rFonts w:ascii="Arial" w:hAnsi="Arial" w:cs="Arial"/>
          <w:color w:val="010000"/>
          <w:sz w:val="20"/>
        </w:rPr>
        <w:t xml:space="preserve">are responsible for implementing this Resolution. </w:t>
      </w:r>
    </w:p>
    <w:p w14:paraId="33260F08" w14:textId="77777777" w:rsidR="00905A9B" w:rsidRPr="007866F5" w:rsidRDefault="005908F3" w:rsidP="00AD4D7C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7866F5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sectPr w:rsidR="00905A9B" w:rsidRPr="007866F5" w:rsidSect="00AD4D7C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2C8F" w14:textId="77777777" w:rsidR="002B7934" w:rsidRDefault="002B7934">
      <w:r>
        <w:separator/>
      </w:r>
    </w:p>
  </w:endnote>
  <w:endnote w:type="continuationSeparator" w:id="0">
    <w:p w14:paraId="16A4E64C" w14:textId="77777777" w:rsidR="002B7934" w:rsidRDefault="002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2977" w14:textId="77777777" w:rsidR="002B7934" w:rsidRDefault="002B7934"/>
  </w:footnote>
  <w:footnote w:type="continuationSeparator" w:id="0">
    <w:p w14:paraId="40969C04" w14:textId="77777777" w:rsidR="002B7934" w:rsidRDefault="002B7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185A"/>
    <w:multiLevelType w:val="multilevel"/>
    <w:tmpl w:val="E54879F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28262C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9B"/>
    <w:rsid w:val="00087F19"/>
    <w:rsid w:val="000E3C3F"/>
    <w:rsid w:val="002B7934"/>
    <w:rsid w:val="00452987"/>
    <w:rsid w:val="005908F3"/>
    <w:rsid w:val="00765F3D"/>
    <w:rsid w:val="007866F5"/>
    <w:rsid w:val="00905A9B"/>
    <w:rsid w:val="00AD4D7C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D3C10"/>
  <w15:docId w15:val="{1D322B73-6987-44CE-9154-E6DFEF52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2C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2C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9E9EA9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9" w:lineRule="auto"/>
    </w:pPr>
    <w:rPr>
      <w:rFonts w:ascii="Times New Roman" w:eastAsia="Times New Roman" w:hAnsi="Times New Roman" w:cs="Times New Roman"/>
      <w:color w:val="28262C"/>
    </w:rPr>
  </w:style>
  <w:style w:type="paragraph" w:customStyle="1" w:styleId="Tiu10">
    <w:name w:val="Tiêu đề #1"/>
    <w:basedOn w:val="Normal"/>
    <w:link w:val="Tiu1"/>
    <w:pPr>
      <w:ind w:left="6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319" w:lineRule="auto"/>
    </w:pPr>
    <w:rPr>
      <w:rFonts w:ascii="Times New Roman" w:eastAsia="Times New Roman" w:hAnsi="Times New Roman" w:cs="Times New Roman"/>
      <w:color w:val="28262C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</w:pPr>
    <w:rPr>
      <w:rFonts w:ascii="Arial" w:eastAsia="Arial" w:hAnsi="Arial" w:cs="Arial"/>
      <w:color w:val="9E9EA9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2024-05-22T01:43:00Z</dcterms:created>
  <dcterms:modified xsi:type="dcterms:W3CDTF">2024-05-23T03:56:00Z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bb4292a298fb3e35c7c8b37a40cc9a33541e620e7b065649733e9598d6cfb78b</vt:lpwstr>
  </property>
</Properties>
</file>