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B28B7" w14:textId="77777777" w:rsidR="004E3DB9" w:rsidRPr="00335CCD" w:rsidRDefault="004E3DB9" w:rsidP="00335CCD">
      <w:pPr>
        <w:pStyle w:val="Vnbnnidung40"/>
        <w:spacing w:after="120" w:line="360" w:lineRule="auto"/>
        <w:jc w:val="left"/>
        <w:rPr>
          <w:b/>
          <w:color w:val="010000"/>
          <w:sz w:val="20"/>
        </w:rPr>
      </w:pPr>
      <w:bookmarkStart w:id="0" w:name="_GoBack"/>
      <w:bookmarkEnd w:id="0"/>
      <w:r w:rsidRPr="00335CCD">
        <w:rPr>
          <w:b/>
          <w:color w:val="010000"/>
          <w:sz w:val="20"/>
        </w:rPr>
        <w:t>DSD: Board Resolution</w:t>
      </w:r>
    </w:p>
    <w:p w14:paraId="7475E58B" w14:textId="40538C94" w:rsidR="00D9327C" w:rsidRPr="00335CCD" w:rsidRDefault="004E3DB9" w:rsidP="00335CCD">
      <w:pPr>
        <w:pStyle w:val="Vnbnnidung40"/>
        <w:spacing w:after="120" w:line="360" w:lineRule="auto"/>
        <w:jc w:val="left"/>
        <w:rPr>
          <w:color w:val="010000"/>
          <w:sz w:val="20"/>
        </w:rPr>
      </w:pPr>
      <w:r w:rsidRPr="00335CCD">
        <w:rPr>
          <w:color w:val="010000"/>
          <w:sz w:val="20"/>
        </w:rPr>
        <w:t>On May 20, 2024, DHC Suoi Doi Corporation announced Resolution No. 307/2024/NQ-HDQT-DHCSD on approving the detailed implementation plan for using the capital raised from the</w:t>
      </w:r>
      <w:r w:rsidR="00335CCD" w:rsidRPr="00335CCD">
        <w:rPr>
          <w:color w:val="010000"/>
          <w:sz w:val="20"/>
        </w:rPr>
        <w:t xml:space="preserve"> offering</w:t>
      </w:r>
      <w:r w:rsidRPr="00335CCD">
        <w:rPr>
          <w:color w:val="010000"/>
          <w:sz w:val="20"/>
        </w:rPr>
        <w:t xml:space="preserve"> </w:t>
      </w:r>
      <w:r w:rsidR="00335CCD" w:rsidRPr="00335CCD">
        <w:rPr>
          <w:color w:val="010000"/>
          <w:sz w:val="20"/>
        </w:rPr>
        <w:t xml:space="preserve">in the </w:t>
      </w:r>
      <w:r w:rsidRPr="00335CCD">
        <w:rPr>
          <w:color w:val="010000"/>
          <w:sz w:val="20"/>
        </w:rPr>
        <w:t>Plan to increase charter capital through private placement in 2024, which was approved by the General Meeting of Shareholders in Extraordinary</w:t>
      </w:r>
      <w:r w:rsidR="00C34088" w:rsidRPr="00335CCD">
        <w:rPr>
          <w:color w:val="010000"/>
          <w:sz w:val="20"/>
        </w:rPr>
        <w:t xml:space="preserve"> </w:t>
      </w:r>
      <w:r w:rsidRPr="00335CCD">
        <w:rPr>
          <w:color w:val="010000"/>
          <w:sz w:val="20"/>
        </w:rPr>
        <w:t>General Mandate</w:t>
      </w:r>
      <w:r w:rsidR="006411A9" w:rsidRPr="00335CCD">
        <w:rPr>
          <w:color w:val="010000"/>
          <w:sz w:val="20"/>
        </w:rPr>
        <w:t xml:space="preserve"> 2024</w:t>
      </w:r>
      <w:r w:rsidRPr="00335CCD">
        <w:rPr>
          <w:color w:val="010000"/>
          <w:sz w:val="20"/>
        </w:rPr>
        <w:t xml:space="preserve"> No. 15/2024/NQ-DHDCD dated January 17, 2024 of DHC Suoi Doi Corporation, as follows: </w:t>
      </w:r>
    </w:p>
    <w:p w14:paraId="69F40971" w14:textId="7F8D3094" w:rsidR="00D9327C" w:rsidRPr="00335CCD" w:rsidRDefault="004B3F70" w:rsidP="00335CCD">
      <w:pPr>
        <w:pStyle w:val="Vnbnnidung0"/>
        <w:spacing w:after="120" w:line="360" w:lineRule="auto"/>
        <w:rPr>
          <w:rFonts w:ascii="Arial" w:hAnsi="Arial" w:cs="Arial"/>
          <w:color w:val="010000"/>
          <w:sz w:val="20"/>
        </w:rPr>
      </w:pPr>
      <w:r w:rsidRPr="00335CCD">
        <w:rPr>
          <w:rFonts w:ascii="Arial" w:hAnsi="Arial" w:cs="Arial"/>
          <w:color w:val="010000"/>
          <w:sz w:val="20"/>
        </w:rPr>
        <w:t>‎‎Article 1. Approve the detailed implementation plan for using the capital raised from</w:t>
      </w:r>
      <w:r w:rsidR="00335CCD" w:rsidRPr="00335CCD">
        <w:rPr>
          <w:rFonts w:ascii="Arial" w:hAnsi="Arial" w:cs="Arial"/>
          <w:color w:val="010000"/>
          <w:sz w:val="20"/>
        </w:rPr>
        <w:t xml:space="preserve"> the</w:t>
      </w:r>
      <w:r w:rsidR="00335CCD" w:rsidRPr="00335CCD">
        <w:rPr>
          <w:color w:val="010000"/>
          <w:sz w:val="20"/>
        </w:rPr>
        <w:t xml:space="preserve"> offering</w:t>
      </w:r>
      <w:r w:rsidR="00335CCD" w:rsidRPr="00335CCD">
        <w:rPr>
          <w:rFonts w:ascii="Arial" w:hAnsi="Arial" w:cs="Arial"/>
          <w:color w:val="010000"/>
          <w:sz w:val="20"/>
        </w:rPr>
        <w:t xml:space="preserve"> </w:t>
      </w:r>
      <w:r w:rsidR="00335CCD" w:rsidRPr="00335CCD">
        <w:rPr>
          <w:color w:val="010000"/>
          <w:sz w:val="20"/>
        </w:rPr>
        <w:t xml:space="preserve">in the </w:t>
      </w:r>
      <w:r w:rsidR="00335CCD" w:rsidRPr="00335CCD">
        <w:rPr>
          <w:rFonts w:ascii="Arial" w:hAnsi="Arial" w:cs="Arial"/>
          <w:color w:val="010000"/>
          <w:sz w:val="20"/>
        </w:rPr>
        <w:t>Plan</w:t>
      </w:r>
      <w:r w:rsidRPr="00335CCD">
        <w:rPr>
          <w:rFonts w:ascii="Arial" w:hAnsi="Arial" w:cs="Arial"/>
          <w:color w:val="010000"/>
          <w:sz w:val="20"/>
        </w:rPr>
        <w:t xml:space="preserve"> to increase charter capital through private placement in 2024, which was approved by the General Meeting of Shareholders in Extraordinary</w:t>
      </w:r>
      <w:r w:rsidR="00C34088" w:rsidRPr="00335CCD">
        <w:rPr>
          <w:rFonts w:ascii="Arial" w:hAnsi="Arial" w:cs="Arial"/>
          <w:color w:val="010000"/>
          <w:sz w:val="20"/>
        </w:rPr>
        <w:t xml:space="preserve"> </w:t>
      </w:r>
      <w:r w:rsidRPr="00335CCD">
        <w:rPr>
          <w:rFonts w:ascii="Arial" w:hAnsi="Arial" w:cs="Arial"/>
          <w:color w:val="010000"/>
          <w:sz w:val="20"/>
        </w:rPr>
        <w:t xml:space="preserve">General Mandate </w:t>
      </w:r>
      <w:r w:rsidR="006411A9" w:rsidRPr="00335CCD">
        <w:rPr>
          <w:rFonts w:ascii="Arial" w:hAnsi="Arial" w:cs="Arial"/>
          <w:color w:val="010000"/>
          <w:sz w:val="20"/>
        </w:rPr>
        <w:t xml:space="preserve">2024 </w:t>
      </w:r>
      <w:r w:rsidRPr="00335CCD">
        <w:rPr>
          <w:rFonts w:ascii="Arial" w:hAnsi="Arial" w:cs="Arial"/>
          <w:color w:val="010000"/>
          <w:sz w:val="20"/>
        </w:rPr>
        <w:t>No. 15/2024/NQ-DHDCD dated January 17, 2024 of DHC Suoi Doi Corporation, as follows:</w:t>
      </w:r>
    </w:p>
    <w:p w14:paraId="521B2F4F" w14:textId="19A417CB" w:rsidR="00D9327C" w:rsidRPr="00335CCD" w:rsidRDefault="004B3F70" w:rsidP="00335CCD">
      <w:pPr>
        <w:pStyle w:val="Vnbnnidung0"/>
        <w:spacing w:after="120" w:line="360" w:lineRule="auto"/>
        <w:rPr>
          <w:rFonts w:ascii="Arial" w:hAnsi="Arial" w:cs="Arial"/>
          <w:color w:val="010000"/>
          <w:sz w:val="20"/>
        </w:rPr>
      </w:pPr>
      <w:r w:rsidRPr="00335CCD">
        <w:rPr>
          <w:rFonts w:ascii="Arial" w:hAnsi="Arial" w:cs="Arial"/>
          <w:color w:val="010000"/>
          <w:sz w:val="20"/>
        </w:rPr>
        <w:t xml:space="preserve">The </w:t>
      </w:r>
      <w:r w:rsidR="00335CCD" w:rsidRPr="00335CCD">
        <w:rPr>
          <w:rFonts w:ascii="Arial" w:hAnsi="Arial" w:cs="Arial"/>
          <w:color w:val="010000"/>
          <w:sz w:val="20"/>
        </w:rPr>
        <w:t xml:space="preserve">expected </w:t>
      </w:r>
      <w:r w:rsidRPr="00335CCD">
        <w:rPr>
          <w:rFonts w:ascii="Arial" w:hAnsi="Arial" w:cs="Arial"/>
          <w:color w:val="010000"/>
          <w:sz w:val="20"/>
        </w:rPr>
        <w:t>proceeds from the</w:t>
      </w:r>
      <w:r w:rsidR="00335CCD" w:rsidRPr="00335CCD">
        <w:rPr>
          <w:rFonts w:ascii="Arial" w:hAnsi="Arial" w:cs="Arial"/>
          <w:color w:val="010000"/>
          <w:sz w:val="20"/>
        </w:rPr>
        <w:t xml:space="preserve"> offering of</w:t>
      </w:r>
      <w:r w:rsidRPr="00335CCD">
        <w:rPr>
          <w:rFonts w:ascii="Arial" w:hAnsi="Arial" w:cs="Arial"/>
          <w:color w:val="010000"/>
          <w:sz w:val="20"/>
        </w:rPr>
        <w:t xml:space="preserve"> </w:t>
      </w:r>
      <w:r w:rsidR="006411A9" w:rsidRPr="00335CCD">
        <w:rPr>
          <w:rFonts w:ascii="Arial" w:hAnsi="Arial" w:cs="Arial"/>
          <w:color w:val="010000"/>
          <w:sz w:val="20"/>
        </w:rPr>
        <w:t xml:space="preserve">VND </w:t>
      </w:r>
      <w:r w:rsidRPr="00335CCD">
        <w:rPr>
          <w:rFonts w:ascii="Arial" w:hAnsi="Arial" w:cs="Arial"/>
          <w:color w:val="010000"/>
          <w:sz w:val="20"/>
        </w:rPr>
        <w:t xml:space="preserve">210,000,000,000 </w:t>
      </w:r>
      <w:r w:rsidR="00335CCD" w:rsidRPr="00335CCD">
        <w:rPr>
          <w:rFonts w:ascii="Arial" w:hAnsi="Arial" w:cs="Arial"/>
          <w:color w:val="010000"/>
          <w:sz w:val="20"/>
        </w:rPr>
        <w:t xml:space="preserve">from </w:t>
      </w:r>
      <w:r w:rsidRPr="00335CCD">
        <w:rPr>
          <w:rFonts w:ascii="Arial" w:hAnsi="Arial" w:cs="Arial"/>
          <w:color w:val="010000"/>
          <w:sz w:val="20"/>
        </w:rPr>
        <w:t xml:space="preserve">the </w:t>
      </w:r>
      <w:r w:rsidR="00335CCD" w:rsidRPr="00335CCD">
        <w:rPr>
          <w:rFonts w:ascii="Arial" w:hAnsi="Arial" w:cs="Arial"/>
          <w:color w:val="010000"/>
          <w:sz w:val="20"/>
        </w:rPr>
        <w:t xml:space="preserve">offering </w:t>
      </w:r>
      <w:r w:rsidRPr="00335CCD">
        <w:rPr>
          <w:rFonts w:ascii="Arial" w:hAnsi="Arial" w:cs="Arial"/>
          <w:color w:val="010000"/>
          <w:sz w:val="20"/>
        </w:rPr>
        <w:t xml:space="preserve">is </w:t>
      </w:r>
      <w:r w:rsidR="00335CCD" w:rsidRPr="00335CCD">
        <w:rPr>
          <w:rFonts w:ascii="Arial" w:hAnsi="Arial" w:cs="Arial"/>
          <w:color w:val="010000"/>
          <w:sz w:val="20"/>
        </w:rPr>
        <w:t xml:space="preserve">expected </w:t>
      </w:r>
      <w:r w:rsidRPr="00335CCD">
        <w:rPr>
          <w:rFonts w:ascii="Arial" w:hAnsi="Arial" w:cs="Arial"/>
          <w:color w:val="010000"/>
          <w:sz w:val="20"/>
        </w:rPr>
        <w:t>to be detailed as follows:</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46"/>
        <w:gridCol w:w="5309"/>
        <w:gridCol w:w="1650"/>
        <w:gridCol w:w="1612"/>
      </w:tblGrid>
      <w:tr w:rsidR="004E3DB9" w:rsidRPr="00335CCD" w14:paraId="04AD7859" w14:textId="77777777" w:rsidTr="000B346D">
        <w:trPr>
          <w:jc w:val="center"/>
        </w:trPr>
        <w:tc>
          <w:tcPr>
            <w:tcW w:w="247" w:type="pct"/>
            <w:shd w:val="clear" w:color="auto" w:fill="auto"/>
            <w:vAlign w:val="center"/>
          </w:tcPr>
          <w:p w14:paraId="77F2BBD1"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No.</w:t>
            </w:r>
          </w:p>
        </w:tc>
        <w:tc>
          <w:tcPr>
            <w:tcW w:w="2944" w:type="pct"/>
            <w:shd w:val="clear" w:color="auto" w:fill="auto"/>
            <w:vAlign w:val="center"/>
          </w:tcPr>
          <w:p w14:paraId="361C4420"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Contents</w:t>
            </w:r>
          </w:p>
        </w:tc>
        <w:tc>
          <w:tcPr>
            <w:tcW w:w="915" w:type="pct"/>
            <w:shd w:val="clear" w:color="auto" w:fill="auto"/>
            <w:vAlign w:val="center"/>
          </w:tcPr>
          <w:p w14:paraId="756E5B8F"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Amount</w:t>
            </w:r>
          </w:p>
          <w:p w14:paraId="25BB7848"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(VND)</w:t>
            </w:r>
          </w:p>
        </w:tc>
        <w:tc>
          <w:tcPr>
            <w:tcW w:w="894" w:type="pct"/>
            <w:shd w:val="clear" w:color="auto" w:fill="auto"/>
            <w:vAlign w:val="center"/>
          </w:tcPr>
          <w:p w14:paraId="24023B66" w14:textId="77777777" w:rsidR="00D9327C" w:rsidRPr="00335CCD" w:rsidRDefault="00EE3397"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Expected time to use</w:t>
            </w:r>
          </w:p>
        </w:tc>
      </w:tr>
      <w:tr w:rsidR="004E3DB9" w:rsidRPr="00335CCD" w14:paraId="079F12EB" w14:textId="77777777" w:rsidTr="000B346D">
        <w:trPr>
          <w:jc w:val="center"/>
        </w:trPr>
        <w:tc>
          <w:tcPr>
            <w:tcW w:w="247" w:type="pct"/>
            <w:shd w:val="clear" w:color="auto" w:fill="auto"/>
            <w:vAlign w:val="center"/>
          </w:tcPr>
          <w:p w14:paraId="0DEE9BF7"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I</w:t>
            </w:r>
          </w:p>
        </w:tc>
        <w:tc>
          <w:tcPr>
            <w:tcW w:w="2944" w:type="pct"/>
            <w:shd w:val="clear" w:color="auto" w:fill="auto"/>
            <w:vAlign w:val="center"/>
          </w:tcPr>
          <w:p w14:paraId="15E21DF6" w14:textId="77777777" w:rsidR="00D9327C" w:rsidRPr="00335CCD" w:rsidRDefault="004B3F70" w:rsidP="00335CCD">
            <w:pPr>
              <w:pStyle w:val="Khc0"/>
              <w:spacing w:after="120" w:line="360" w:lineRule="auto"/>
              <w:rPr>
                <w:rFonts w:ascii="Arial" w:hAnsi="Arial" w:cs="Arial"/>
                <w:color w:val="010000"/>
                <w:sz w:val="20"/>
              </w:rPr>
            </w:pPr>
            <w:r w:rsidRPr="00335CCD">
              <w:rPr>
                <w:rFonts w:ascii="Arial" w:hAnsi="Arial" w:cs="Arial"/>
                <w:color w:val="010000"/>
                <w:sz w:val="20"/>
              </w:rPr>
              <w:t xml:space="preserve">Supplement working capital for the Company's production and business (including: cost of fuel, raw materials, goods, supplies, etc. and cost of labor, </w:t>
            </w:r>
            <w:r w:rsidR="006411A9" w:rsidRPr="00335CCD">
              <w:rPr>
                <w:rFonts w:ascii="Arial" w:hAnsi="Arial" w:cs="Arial"/>
                <w:color w:val="010000"/>
                <w:sz w:val="20"/>
              </w:rPr>
              <w:t xml:space="preserve">and </w:t>
            </w:r>
            <w:r w:rsidRPr="00335CCD">
              <w:rPr>
                <w:rFonts w:ascii="Arial" w:hAnsi="Arial" w:cs="Arial"/>
                <w:color w:val="010000"/>
                <w:sz w:val="20"/>
              </w:rPr>
              <w:t>employee benefits)</w:t>
            </w:r>
          </w:p>
        </w:tc>
        <w:tc>
          <w:tcPr>
            <w:tcW w:w="915" w:type="pct"/>
            <w:shd w:val="clear" w:color="auto" w:fill="auto"/>
            <w:vAlign w:val="center"/>
          </w:tcPr>
          <w:p w14:paraId="1EA427EF"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20,000,000,000</w:t>
            </w:r>
          </w:p>
        </w:tc>
        <w:tc>
          <w:tcPr>
            <w:tcW w:w="894" w:type="pct"/>
            <w:shd w:val="clear" w:color="auto" w:fill="auto"/>
            <w:vAlign w:val="center"/>
          </w:tcPr>
          <w:p w14:paraId="1A9CACD4"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During 2024</w:t>
            </w:r>
          </w:p>
        </w:tc>
      </w:tr>
      <w:tr w:rsidR="004E3DB9" w:rsidRPr="00335CCD" w14:paraId="132C3B6F" w14:textId="77777777" w:rsidTr="000B346D">
        <w:trPr>
          <w:jc w:val="center"/>
        </w:trPr>
        <w:tc>
          <w:tcPr>
            <w:tcW w:w="247" w:type="pct"/>
            <w:shd w:val="clear" w:color="auto" w:fill="auto"/>
            <w:vAlign w:val="center"/>
          </w:tcPr>
          <w:p w14:paraId="7CA562F0"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1</w:t>
            </w:r>
          </w:p>
        </w:tc>
        <w:tc>
          <w:tcPr>
            <w:tcW w:w="2944" w:type="pct"/>
            <w:shd w:val="clear" w:color="auto" w:fill="auto"/>
            <w:vAlign w:val="center"/>
          </w:tcPr>
          <w:p w14:paraId="6FD17969" w14:textId="77777777" w:rsidR="00D9327C" w:rsidRPr="00335CCD" w:rsidRDefault="004B3F70" w:rsidP="00335CCD">
            <w:pPr>
              <w:pStyle w:val="Khc0"/>
              <w:numPr>
                <w:ilvl w:val="0"/>
                <w:numId w:val="3"/>
              </w:numPr>
              <w:spacing w:after="120" w:line="360" w:lineRule="auto"/>
              <w:ind w:left="0" w:firstLine="0"/>
              <w:rPr>
                <w:rFonts w:ascii="Arial" w:hAnsi="Arial" w:cs="Arial"/>
                <w:color w:val="010000"/>
                <w:sz w:val="20"/>
              </w:rPr>
            </w:pPr>
            <w:r w:rsidRPr="00335CCD">
              <w:rPr>
                <w:rFonts w:ascii="Arial" w:hAnsi="Arial" w:cs="Arial"/>
                <w:color w:val="010000"/>
                <w:sz w:val="20"/>
              </w:rPr>
              <w:t xml:space="preserve">Cost of fuel, raw materials, goods, supplies, etc. </w:t>
            </w:r>
          </w:p>
        </w:tc>
        <w:tc>
          <w:tcPr>
            <w:tcW w:w="915" w:type="pct"/>
            <w:shd w:val="clear" w:color="auto" w:fill="auto"/>
            <w:vAlign w:val="center"/>
          </w:tcPr>
          <w:p w14:paraId="522BA475"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5,000,000,000</w:t>
            </w:r>
          </w:p>
        </w:tc>
        <w:tc>
          <w:tcPr>
            <w:tcW w:w="894" w:type="pct"/>
            <w:shd w:val="clear" w:color="auto" w:fill="auto"/>
            <w:vAlign w:val="center"/>
          </w:tcPr>
          <w:p w14:paraId="6F510B52" w14:textId="77777777" w:rsidR="00D9327C" w:rsidRPr="00335CCD" w:rsidRDefault="00D9327C" w:rsidP="00335CCD">
            <w:pPr>
              <w:spacing w:after="120" w:line="360" w:lineRule="auto"/>
              <w:jc w:val="center"/>
              <w:rPr>
                <w:rFonts w:ascii="Arial" w:hAnsi="Arial" w:cs="Arial"/>
                <w:color w:val="010000"/>
                <w:sz w:val="20"/>
                <w:szCs w:val="10"/>
              </w:rPr>
            </w:pPr>
          </w:p>
        </w:tc>
      </w:tr>
      <w:tr w:rsidR="004E3DB9" w:rsidRPr="00335CCD" w14:paraId="1A8E70D4" w14:textId="77777777" w:rsidTr="000B346D">
        <w:trPr>
          <w:jc w:val="center"/>
        </w:trPr>
        <w:tc>
          <w:tcPr>
            <w:tcW w:w="247" w:type="pct"/>
            <w:shd w:val="clear" w:color="auto" w:fill="auto"/>
            <w:vAlign w:val="center"/>
          </w:tcPr>
          <w:p w14:paraId="22F0C181"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2</w:t>
            </w:r>
          </w:p>
        </w:tc>
        <w:tc>
          <w:tcPr>
            <w:tcW w:w="2944" w:type="pct"/>
            <w:shd w:val="clear" w:color="auto" w:fill="auto"/>
            <w:vAlign w:val="center"/>
          </w:tcPr>
          <w:p w14:paraId="093C43D7" w14:textId="77777777" w:rsidR="00D9327C" w:rsidRPr="00335CCD" w:rsidRDefault="004B3F70" w:rsidP="00335CCD">
            <w:pPr>
              <w:pStyle w:val="Khc0"/>
              <w:numPr>
                <w:ilvl w:val="0"/>
                <w:numId w:val="3"/>
              </w:numPr>
              <w:spacing w:after="120" w:line="360" w:lineRule="auto"/>
              <w:ind w:left="0" w:firstLine="0"/>
              <w:rPr>
                <w:rFonts w:ascii="Arial" w:hAnsi="Arial" w:cs="Arial"/>
                <w:color w:val="010000"/>
                <w:sz w:val="20"/>
              </w:rPr>
            </w:pPr>
            <w:r w:rsidRPr="00335CCD">
              <w:rPr>
                <w:rFonts w:ascii="Arial" w:hAnsi="Arial" w:cs="Arial"/>
                <w:color w:val="010000"/>
                <w:sz w:val="20"/>
              </w:rPr>
              <w:t>Cost of labor, employee benefits</w:t>
            </w:r>
          </w:p>
        </w:tc>
        <w:tc>
          <w:tcPr>
            <w:tcW w:w="915" w:type="pct"/>
            <w:shd w:val="clear" w:color="auto" w:fill="auto"/>
            <w:vAlign w:val="center"/>
          </w:tcPr>
          <w:p w14:paraId="680337A4"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15,000,000,000</w:t>
            </w:r>
          </w:p>
        </w:tc>
        <w:tc>
          <w:tcPr>
            <w:tcW w:w="894" w:type="pct"/>
            <w:shd w:val="clear" w:color="auto" w:fill="auto"/>
            <w:vAlign w:val="center"/>
          </w:tcPr>
          <w:p w14:paraId="5E7A72AE" w14:textId="77777777" w:rsidR="00D9327C" w:rsidRPr="00335CCD" w:rsidRDefault="00D9327C" w:rsidP="00335CCD">
            <w:pPr>
              <w:spacing w:after="120" w:line="360" w:lineRule="auto"/>
              <w:jc w:val="center"/>
              <w:rPr>
                <w:rFonts w:ascii="Arial" w:hAnsi="Arial" w:cs="Arial"/>
                <w:color w:val="010000"/>
                <w:sz w:val="20"/>
                <w:szCs w:val="10"/>
              </w:rPr>
            </w:pPr>
          </w:p>
        </w:tc>
      </w:tr>
      <w:tr w:rsidR="004E3DB9" w:rsidRPr="00335CCD" w14:paraId="64174DA5" w14:textId="77777777" w:rsidTr="000B346D">
        <w:trPr>
          <w:jc w:val="center"/>
        </w:trPr>
        <w:tc>
          <w:tcPr>
            <w:tcW w:w="247" w:type="pct"/>
            <w:shd w:val="clear" w:color="auto" w:fill="auto"/>
            <w:vAlign w:val="center"/>
          </w:tcPr>
          <w:p w14:paraId="658B32E8"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II</w:t>
            </w:r>
          </w:p>
        </w:tc>
        <w:tc>
          <w:tcPr>
            <w:tcW w:w="2944" w:type="pct"/>
            <w:shd w:val="clear" w:color="auto" w:fill="auto"/>
            <w:vAlign w:val="center"/>
          </w:tcPr>
          <w:p w14:paraId="282CC979" w14:textId="77777777" w:rsidR="00D9327C" w:rsidRPr="00335CCD" w:rsidRDefault="004B3F70" w:rsidP="00335CCD">
            <w:pPr>
              <w:pStyle w:val="Khc0"/>
              <w:spacing w:after="120" w:line="360" w:lineRule="auto"/>
              <w:rPr>
                <w:rFonts w:ascii="Arial" w:hAnsi="Arial" w:cs="Arial"/>
                <w:color w:val="010000"/>
                <w:sz w:val="20"/>
              </w:rPr>
            </w:pPr>
            <w:r w:rsidRPr="00335CCD">
              <w:rPr>
                <w:rFonts w:ascii="Arial" w:hAnsi="Arial" w:cs="Arial"/>
                <w:color w:val="010000"/>
                <w:sz w:val="20"/>
              </w:rPr>
              <w:t>Repay principal and interest on loans from individuals, organizations, and credit organizations.</w:t>
            </w:r>
          </w:p>
        </w:tc>
        <w:tc>
          <w:tcPr>
            <w:tcW w:w="915" w:type="pct"/>
            <w:shd w:val="clear" w:color="auto" w:fill="auto"/>
            <w:vAlign w:val="center"/>
          </w:tcPr>
          <w:p w14:paraId="5939DC9B"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180,000,000,000</w:t>
            </w:r>
          </w:p>
        </w:tc>
        <w:tc>
          <w:tcPr>
            <w:tcW w:w="894" w:type="pct"/>
            <w:shd w:val="clear" w:color="auto" w:fill="auto"/>
            <w:vAlign w:val="center"/>
          </w:tcPr>
          <w:p w14:paraId="1BD10240" w14:textId="77777777" w:rsidR="00D9327C" w:rsidRPr="00335CCD" w:rsidRDefault="00A635AB"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During</w:t>
            </w:r>
          </w:p>
          <w:p w14:paraId="3C4FFFDB"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2024</w:t>
            </w:r>
          </w:p>
        </w:tc>
      </w:tr>
      <w:tr w:rsidR="004E3DB9" w:rsidRPr="00335CCD" w14:paraId="6E1E3E42" w14:textId="77777777" w:rsidTr="000B346D">
        <w:trPr>
          <w:jc w:val="center"/>
        </w:trPr>
        <w:tc>
          <w:tcPr>
            <w:tcW w:w="247" w:type="pct"/>
            <w:shd w:val="clear" w:color="auto" w:fill="auto"/>
            <w:vAlign w:val="center"/>
          </w:tcPr>
          <w:p w14:paraId="6D0AB204"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1</w:t>
            </w:r>
          </w:p>
        </w:tc>
        <w:tc>
          <w:tcPr>
            <w:tcW w:w="2944" w:type="pct"/>
            <w:shd w:val="clear" w:color="auto" w:fill="auto"/>
            <w:vAlign w:val="center"/>
          </w:tcPr>
          <w:p w14:paraId="4E5C460D" w14:textId="77777777" w:rsidR="00D9327C" w:rsidRPr="00335CCD" w:rsidRDefault="004B3F70" w:rsidP="00335CCD">
            <w:pPr>
              <w:pStyle w:val="Khc0"/>
              <w:spacing w:after="120" w:line="360" w:lineRule="auto"/>
              <w:rPr>
                <w:rFonts w:ascii="Arial" w:hAnsi="Arial" w:cs="Arial"/>
                <w:color w:val="010000"/>
                <w:sz w:val="20"/>
              </w:rPr>
            </w:pPr>
            <w:r w:rsidRPr="00335CCD">
              <w:rPr>
                <w:rFonts w:ascii="Arial" w:hAnsi="Arial" w:cs="Arial"/>
                <w:color w:val="010000"/>
                <w:sz w:val="20"/>
              </w:rPr>
              <w:t>Asia Commercial Bank - Da Nang Branch</w:t>
            </w:r>
          </w:p>
        </w:tc>
        <w:tc>
          <w:tcPr>
            <w:tcW w:w="915" w:type="pct"/>
            <w:shd w:val="clear" w:color="auto" w:fill="auto"/>
            <w:vAlign w:val="center"/>
          </w:tcPr>
          <w:p w14:paraId="44F851A4"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40,000,000,000</w:t>
            </w:r>
          </w:p>
        </w:tc>
        <w:tc>
          <w:tcPr>
            <w:tcW w:w="894" w:type="pct"/>
            <w:vMerge w:val="restart"/>
            <w:shd w:val="clear" w:color="auto" w:fill="auto"/>
            <w:vAlign w:val="center"/>
          </w:tcPr>
          <w:p w14:paraId="0560D028" w14:textId="77777777" w:rsidR="00D9327C" w:rsidRPr="00335CCD" w:rsidRDefault="00D9327C" w:rsidP="00335CCD">
            <w:pPr>
              <w:spacing w:after="120" w:line="360" w:lineRule="auto"/>
              <w:jc w:val="center"/>
              <w:rPr>
                <w:rFonts w:ascii="Arial" w:hAnsi="Arial" w:cs="Arial"/>
                <w:color w:val="010000"/>
                <w:sz w:val="20"/>
                <w:szCs w:val="10"/>
              </w:rPr>
            </w:pPr>
          </w:p>
        </w:tc>
      </w:tr>
      <w:tr w:rsidR="004E3DB9" w:rsidRPr="00335CCD" w14:paraId="433B779C" w14:textId="77777777" w:rsidTr="000B346D">
        <w:trPr>
          <w:jc w:val="center"/>
        </w:trPr>
        <w:tc>
          <w:tcPr>
            <w:tcW w:w="247" w:type="pct"/>
            <w:shd w:val="clear" w:color="auto" w:fill="auto"/>
            <w:vAlign w:val="center"/>
          </w:tcPr>
          <w:p w14:paraId="19475EDE"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2</w:t>
            </w:r>
          </w:p>
        </w:tc>
        <w:tc>
          <w:tcPr>
            <w:tcW w:w="2944" w:type="pct"/>
            <w:shd w:val="clear" w:color="auto" w:fill="auto"/>
            <w:vAlign w:val="center"/>
          </w:tcPr>
          <w:p w14:paraId="620F2BE9" w14:textId="77777777" w:rsidR="00D9327C" w:rsidRPr="00335CCD" w:rsidRDefault="004B3F70" w:rsidP="00335CCD">
            <w:pPr>
              <w:pStyle w:val="Khc0"/>
              <w:spacing w:after="120" w:line="360" w:lineRule="auto"/>
              <w:rPr>
                <w:rFonts w:ascii="Arial" w:hAnsi="Arial" w:cs="Arial"/>
                <w:color w:val="010000"/>
                <w:sz w:val="20"/>
              </w:rPr>
            </w:pPr>
            <w:r w:rsidRPr="00335CCD">
              <w:rPr>
                <w:rFonts w:ascii="Arial" w:hAnsi="Arial" w:cs="Arial"/>
                <w:color w:val="010000"/>
                <w:sz w:val="20"/>
              </w:rPr>
              <w:t>Vu Van Huong</w:t>
            </w:r>
          </w:p>
        </w:tc>
        <w:tc>
          <w:tcPr>
            <w:tcW w:w="915" w:type="pct"/>
            <w:shd w:val="clear" w:color="auto" w:fill="auto"/>
            <w:vAlign w:val="center"/>
          </w:tcPr>
          <w:p w14:paraId="7B146B7F"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13,850,000,000</w:t>
            </w:r>
          </w:p>
        </w:tc>
        <w:tc>
          <w:tcPr>
            <w:tcW w:w="894" w:type="pct"/>
            <w:vMerge/>
            <w:shd w:val="clear" w:color="auto" w:fill="auto"/>
            <w:vAlign w:val="center"/>
          </w:tcPr>
          <w:p w14:paraId="596CEFE1" w14:textId="77777777" w:rsidR="00D9327C" w:rsidRPr="00335CCD" w:rsidRDefault="00D9327C" w:rsidP="00335CCD">
            <w:pPr>
              <w:spacing w:after="120" w:line="360" w:lineRule="auto"/>
              <w:jc w:val="center"/>
              <w:rPr>
                <w:rFonts w:ascii="Arial" w:hAnsi="Arial" w:cs="Arial"/>
                <w:color w:val="010000"/>
                <w:sz w:val="20"/>
              </w:rPr>
            </w:pPr>
          </w:p>
        </w:tc>
      </w:tr>
      <w:tr w:rsidR="004E3DB9" w:rsidRPr="00335CCD" w14:paraId="7F432441" w14:textId="77777777" w:rsidTr="000B346D">
        <w:trPr>
          <w:jc w:val="center"/>
        </w:trPr>
        <w:tc>
          <w:tcPr>
            <w:tcW w:w="247" w:type="pct"/>
            <w:shd w:val="clear" w:color="auto" w:fill="auto"/>
            <w:vAlign w:val="center"/>
          </w:tcPr>
          <w:p w14:paraId="5B687296"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3</w:t>
            </w:r>
          </w:p>
        </w:tc>
        <w:tc>
          <w:tcPr>
            <w:tcW w:w="2944" w:type="pct"/>
            <w:shd w:val="clear" w:color="auto" w:fill="auto"/>
            <w:vAlign w:val="center"/>
          </w:tcPr>
          <w:p w14:paraId="5100D94E" w14:textId="77777777" w:rsidR="00D9327C" w:rsidRPr="00335CCD" w:rsidRDefault="004B3F70" w:rsidP="00335CCD">
            <w:pPr>
              <w:pStyle w:val="Khc0"/>
              <w:spacing w:after="120" w:line="360" w:lineRule="auto"/>
              <w:rPr>
                <w:rFonts w:ascii="Arial" w:hAnsi="Arial" w:cs="Arial"/>
                <w:color w:val="010000"/>
                <w:sz w:val="20"/>
              </w:rPr>
            </w:pPr>
            <w:r w:rsidRPr="00335CCD">
              <w:rPr>
                <w:rFonts w:ascii="Arial" w:hAnsi="Arial" w:cs="Arial"/>
                <w:color w:val="010000"/>
                <w:sz w:val="20"/>
              </w:rPr>
              <w:t>Le Thi Thanh Nga</w:t>
            </w:r>
          </w:p>
        </w:tc>
        <w:tc>
          <w:tcPr>
            <w:tcW w:w="915" w:type="pct"/>
            <w:shd w:val="clear" w:color="auto" w:fill="auto"/>
            <w:vAlign w:val="center"/>
          </w:tcPr>
          <w:p w14:paraId="289D65FF"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43,400,000,000</w:t>
            </w:r>
          </w:p>
        </w:tc>
        <w:tc>
          <w:tcPr>
            <w:tcW w:w="894" w:type="pct"/>
            <w:vMerge/>
            <w:shd w:val="clear" w:color="auto" w:fill="auto"/>
            <w:vAlign w:val="center"/>
          </w:tcPr>
          <w:p w14:paraId="395EA740" w14:textId="77777777" w:rsidR="00D9327C" w:rsidRPr="00335CCD" w:rsidRDefault="00D9327C" w:rsidP="00335CCD">
            <w:pPr>
              <w:spacing w:after="120" w:line="360" w:lineRule="auto"/>
              <w:jc w:val="center"/>
              <w:rPr>
                <w:rFonts w:ascii="Arial" w:hAnsi="Arial" w:cs="Arial"/>
                <w:color w:val="010000"/>
                <w:sz w:val="20"/>
              </w:rPr>
            </w:pPr>
          </w:p>
        </w:tc>
      </w:tr>
      <w:tr w:rsidR="004E3DB9" w:rsidRPr="00335CCD" w14:paraId="3C96A74E" w14:textId="77777777" w:rsidTr="000B346D">
        <w:trPr>
          <w:jc w:val="center"/>
        </w:trPr>
        <w:tc>
          <w:tcPr>
            <w:tcW w:w="247" w:type="pct"/>
            <w:shd w:val="clear" w:color="auto" w:fill="auto"/>
            <w:vAlign w:val="center"/>
          </w:tcPr>
          <w:p w14:paraId="4DD2C1EE"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4</w:t>
            </w:r>
          </w:p>
        </w:tc>
        <w:tc>
          <w:tcPr>
            <w:tcW w:w="2944" w:type="pct"/>
            <w:shd w:val="clear" w:color="auto" w:fill="auto"/>
            <w:vAlign w:val="center"/>
          </w:tcPr>
          <w:p w14:paraId="2966AC17" w14:textId="77777777" w:rsidR="00D9327C" w:rsidRPr="00335CCD" w:rsidRDefault="004B3F70" w:rsidP="00335CCD">
            <w:pPr>
              <w:pStyle w:val="Khc0"/>
              <w:spacing w:after="120" w:line="360" w:lineRule="auto"/>
              <w:rPr>
                <w:rFonts w:ascii="Arial" w:hAnsi="Arial" w:cs="Arial"/>
                <w:color w:val="010000"/>
                <w:sz w:val="20"/>
              </w:rPr>
            </w:pPr>
            <w:r w:rsidRPr="00335CCD">
              <w:rPr>
                <w:rFonts w:ascii="Arial" w:hAnsi="Arial" w:cs="Arial"/>
                <w:color w:val="010000"/>
                <w:sz w:val="20"/>
              </w:rPr>
              <w:t>Tran Dang Duc</w:t>
            </w:r>
          </w:p>
        </w:tc>
        <w:tc>
          <w:tcPr>
            <w:tcW w:w="915" w:type="pct"/>
            <w:shd w:val="clear" w:color="auto" w:fill="auto"/>
            <w:vAlign w:val="center"/>
          </w:tcPr>
          <w:p w14:paraId="62E4C605"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77,250,000,000</w:t>
            </w:r>
          </w:p>
        </w:tc>
        <w:tc>
          <w:tcPr>
            <w:tcW w:w="894" w:type="pct"/>
            <w:vMerge/>
            <w:shd w:val="clear" w:color="auto" w:fill="auto"/>
            <w:vAlign w:val="center"/>
          </w:tcPr>
          <w:p w14:paraId="7D8D9B95" w14:textId="77777777" w:rsidR="00D9327C" w:rsidRPr="00335CCD" w:rsidRDefault="00D9327C" w:rsidP="00335CCD">
            <w:pPr>
              <w:spacing w:after="120" w:line="360" w:lineRule="auto"/>
              <w:jc w:val="center"/>
              <w:rPr>
                <w:rFonts w:ascii="Arial" w:hAnsi="Arial" w:cs="Arial"/>
                <w:color w:val="010000"/>
                <w:sz w:val="20"/>
              </w:rPr>
            </w:pPr>
          </w:p>
        </w:tc>
      </w:tr>
      <w:tr w:rsidR="004E3DB9" w:rsidRPr="00335CCD" w14:paraId="07452478" w14:textId="77777777" w:rsidTr="000B346D">
        <w:trPr>
          <w:jc w:val="center"/>
        </w:trPr>
        <w:tc>
          <w:tcPr>
            <w:tcW w:w="247" w:type="pct"/>
            <w:shd w:val="clear" w:color="auto" w:fill="auto"/>
            <w:vAlign w:val="center"/>
          </w:tcPr>
          <w:p w14:paraId="7A9D1EB1"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5</w:t>
            </w:r>
          </w:p>
        </w:tc>
        <w:tc>
          <w:tcPr>
            <w:tcW w:w="2944" w:type="pct"/>
            <w:shd w:val="clear" w:color="auto" w:fill="auto"/>
            <w:vAlign w:val="center"/>
          </w:tcPr>
          <w:p w14:paraId="78AF77D0" w14:textId="77777777" w:rsidR="00D9327C" w:rsidRPr="00335CCD" w:rsidRDefault="004B3F70" w:rsidP="00335CCD">
            <w:pPr>
              <w:pStyle w:val="Khc0"/>
              <w:spacing w:after="120" w:line="360" w:lineRule="auto"/>
              <w:rPr>
                <w:rFonts w:ascii="Arial" w:hAnsi="Arial" w:cs="Arial"/>
                <w:color w:val="010000"/>
                <w:sz w:val="20"/>
              </w:rPr>
            </w:pPr>
            <w:r w:rsidRPr="00335CCD">
              <w:rPr>
                <w:rFonts w:ascii="Arial" w:hAnsi="Arial" w:cs="Arial"/>
                <w:color w:val="010000"/>
                <w:sz w:val="20"/>
              </w:rPr>
              <w:t>Hoang Giang</w:t>
            </w:r>
          </w:p>
        </w:tc>
        <w:tc>
          <w:tcPr>
            <w:tcW w:w="915" w:type="pct"/>
            <w:shd w:val="clear" w:color="auto" w:fill="auto"/>
            <w:vAlign w:val="center"/>
          </w:tcPr>
          <w:p w14:paraId="7E946F27"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5,500,000,000</w:t>
            </w:r>
          </w:p>
        </w:tc>
        <w:tc>
          <w:tcPr>
            <w:tcW w:w="894" w:type="pct"/>
            <w:vMerge/>
            <w:shd w:val="clear" w:color="auto" w:fill="auto"/>
            <w:vAlign w:val="center"/>
          </w:tcPr>
          <w:p w14:paraId="1F793078" w14:textId="77777777" w:rsidR="00D9327C" w:rsidRPr="00335CCD" w:rsidRDefault="00D9327C" w:rsidP="00335CCD">
            <w:pPr>
              <w:spacing w:after="120" w:line="360" w:lineRule="auto"/>
              <w:jc w:val="center"/>
              <w:rPr>
                <w:rFonts w:ascii="Arial" w:hAnsi="Arial" w:cs="Arial"/>
                <w:color w:val="010000"/>
                <w:sz w:val="20"/>
              </w:rPr>
            </w:pPr>
          </w:p>
        </w:tc>
      </w:tr>
      <w:tr w:rsidR="004E3DB9" w:rsidRPr="00335CCD" w14:paraId="431F1898" w14:textId="77777777" w:rsidTr="000B346D">
        <w:trPr>
          <w:jc w:val="center"/>
        </w:trPr>
        <w:tc>
          <w:tcPr>
            <w:tcW w:w="247" w:type="pct"/>
            <w:shd w:val="clear" w:color="auto" w:fill="auto"/>
            <w:vAlign w:val="center"/>
          </w:tcPr>
          <w:p w14:paraId="0294BDE7"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III</w:t>
            </w:r>
          </w:p>
        </w:tc>
        <w:tc>
          <w:tcPr>
            <w:tcW w:w="2944" w:type="pct"/>
            <w:shd w:val="clear" w:color="auto" w:fill="auto"/>
            <w:vAlign w:val="center"/>
          </w:tcPr>
          <w:p w14:paraId="1F460423" w14:textId="77777777" w:rsidR="00D9327C" w:rsidRPr="00335CCD" w:rsidRDefault="004B3F70" w:rsidP="00335CCD">
            <w:pPr>
              <w:pStyle w:val="Khc0"/>
              <w:spacing w:after="120" w:line="360" w:lineRule="auto"/>
              <w:rPr>
                <w:rFonts w:ascii="Arial" w:hAnsi="Arial" w:cs="Arial"/>
                <w:color w:val="010000"/>
                <w:sz w:val="20"/>
              </w:rPr>
            </w:pPr>
            <w:r w:rsidRPr="00335CCD">
              <w:rPr>
                <w:rFonts w:ascii="Arial" w:hAnsi="Arial" w:cs="Arial"/>
                <w:color w:val="010000"/>
                <w:sz w:val="20"/>
              </w:rPr>
              <w:t>Pay for construction works (including: infrastructure repair, indoor and outdoor renovation, landscape construction, technical infrastructure, etc.)</w:t>
            </w:r>
          </w:p>
          <w:p w14:paraId="5C19758D" w14:textId="77777777" w:rsidR="00D9327C" w:rsidRPr="00335CCD" w:rsidRDefault="004B3F70" w:rsidP="00335CCD">
            <w:pPr>
              <w:pStyle w:val="Khc0"/>
              <w:spacing w:after="120" w:line="360" w:lineRule="auto"/>
              <w:rPr>
                <w:rFonts w:ascii="Arial" w:hAnsi="Arial" w:cs="Arial"/>
                <w:color w:val="010000"/>
                <w:sz w:val="20"/>
              </w:rPr>
            </w:pPr>
            <w:r w:rsidRPr="00335CCD">
              <w:rPr>
                <w:rFonts w:ascii="Arial" w:hAnsi="Arial" w:cs="Arial"/>
                <w:color w:val="010000"/>
                <w:sz w:val="20"/>
              </w:rPr>
              <w:t>Specifically: Contract</w:t>
            </w:r>
            <w:r w:rsidR="006411A9" w:rsidRPr="00335CCD">
              <w:rPr>
                <w:rFonts w:ascii="Arial" w:hAnsi="Arial" w:cs="Arial"/>
                <w:color w:val="010000"/>
                <w:sz w:val="20"/>
              </w:rPr>
              <w:t xml:space="preserve"> No.</w:t>
            </w:r>
            <w:r w:rsidRPr="00335CCD">
              <w:rPr>
                <w:rFonts w:ascii="Arial" w:hAnsi="Arial" w:cs="Arial"/>
                <w:color w:val="010000"/>
                <w:sz w:val="20"/>
              </w:rPr>
              <w:t xml:space="preserve"> 44/2024/HDKT/DHCSD- DHCSH, signed on May 16, 2024, between DHC Suoi Doi Corporation and DHC Han </w:t>
            </w:r>
            <w:r w:rsidR="006411A9" w:rsidRPr="00335CCD">
              <w:rPr>
                <w:rFonts w:ascii="Arial" w:hAnsi="Arial" w:cs="Arial"/>
                <w:color w:val="010000"/>
                <w:sz w:val="20"/>
              </w:rPr>
              <w:t xml:space="preserve">River </w:t>
            </w:r>
            <w:r w:rsidRPr="00335CCD">
              <w:rPr>
                <w:rFonts w:ascii="Arial" w:hAnsi="Arial" w:cs="Arial"/>
                <w:color w:val="010000"/>
                <w:sz w:val="20"/>
              </w:rPr>
              <w:t>Joint Stock Company.</w:t>
            </w:r>
          </w:p>
        </w:tc>
        <w:tc>
          <w:tcPr>
            <w:tcW w:w="915" w:type="pct"/>
            <w:shd w:val="clear" w:color="auto" w:fill="auto"/>
            <w:vAlign w:val="center"/>
          </w:tcPr>
          <w:p w14:paraId="57BF93F6"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10,000,000,000</w:t>
            </w:r>
          </w:p>
        </w:tc>
        <w:tc>
          <w:tcPr>
            <w:tcW w:w="894" w:type="pct"/>
            <w:shd w:val="clear" w:color="auto" w:fill="auto"/>
            <w:vAlign w:val="center"/>
          </w:tcPr>
          <w:p w14:paraId="6B9C3A3A" w14:textId="77777777" w:rsidR="00D9327C" w:rsidRPr="00335CCD" w:rsidRDefault="00A635AB"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During</w:t>
            </w:r>
          </w:p>
          <w:p w14:paraId="6372B88E"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2024</w:t>
            </w:r>
          </w:p>
        </w:tc>
      </w:tr>
      <w:tr w:rsidR="004E3DB9" w:rsidRPr="00335CCD" w14:paraId="1B77A3FF" w14:textId="77777777" w:rsidTr="000B346D">
        <w:trPr>
          <w:jc w:val="center"/>
        </w:trPr>
        <w:tc>
          <w:tcPr>
            <w:tcW w:w="247" w:type="pct"/>
            <w:shd w:val="clear" w:color="auto" w:fill="auto"/>
            <w:vAlign w:val="center"/>
          </w:tcPr>
          <w:p w14:paraId="1AFF6679" w14:textId="77777777" w:rsidR="00D9327C" w:rsidRPr="00335CCD" w:rsidRDefault="00D9327C" w:rsidP="00335CCD">
            <w:pPr>
              <w:spacing w:after="120" w:line="360" w:lineRule="auto"/>
              <w:jc w:val="center"/>
              <w:rPr>
                <w:rFonts w:ascii="Arial" w:hAnsi="Arial" w:cs="Arial"/>
                <w:color w:val="010000"/>
                <w:sz w:val="20"/>
                <w:szCs w:val="10"/>
              </w:rPr>
            </w:pPr>
          </w:p>
        </w:tc>
        <w:tc>
          <w:tcPr>
            <w:tcW w:w="2944" w:type="pct"/>
            <w:shd w:val="clear" w:color="auto" w:fill="auto"/>
            <w:vAlign w:val="center"/>
          </w:tcPr>
          <w:p w14:paraId="530AEEF9" w14:textId="77777777" w:rsidR="00D9327C" w:rsidRPr="00335CCD" w:rsidRDefault="004B3F70" w:rsidP="00335CCD">
            <w:pPr>
              <w:pStyle w:val="Khc0"/>
              <w:spacing w:after="120" w:line="360" w:lineRule="auto"/>
              <w:rPr>
                <w:rFonts w:ascii="Arial" w:hAnsi="Arial" w:cs="Arial"/>
                <w:color w:val="010000"/>
                <w:sz w:val="20"/>
              </w:rPr>
            </w:pPr>
            <w:r w:rsidRPr="00335CCD">
              <w:rPr>
                <w:rFonts w:ascii="Arial" w:hAnsi="Arial" w:cs="Arial"/>
                <w:color w:val="010000"/>
                <w:sz w:val="20"/>
              </w:rPr>
              <w:t>Total</w:t>
            </w:r>
          </w:p>
        </w:tc>
        <w:tc>
          <w:tcPr>
            <w:tcW w:w="915" w:type="pct"/>
            <w:shd w:val="clear" w:color="auto" w:fill="auto"/>
            <w:vAlign w:val="center"/>
          </w:tcPr>
          <w:p w14:paraId="657E9714" w14:textId="77777777" w:rsidR="00D9327C" w:rsidRPr="00335CCD" w:rsidRDefault="004B3F70" w:rsidP="00335CCD">
            <w:pPr>
              <w:pStyle w:val="Khc0"/>
              <w:spacing w:after="120" w:line="360" w:lineRule="auto"/>
              <w:jc w:val="center"/>
              <w:rPr>
                <w:rFonts w:ascii="Arial" w:hAnsi="Arial" w:cs="Arial"/>
                <w:color w:val="010000"/>
                <w:sz w:val="20"/>
              </w:rPr>
            </w:pPr>
            <w:r w:rsidRPr="00335CCD">
              <w:rPr>
                <w:rFonts w:ascii="Arial" w:hAnsi="Arial" w:cs="Arial"/>
                <w:color w:val="010000"/>
                <w:sz w:val="20"/>
              </w:rPr>
              <w:t>210,000,000,000</w:t>
            </w:r>
          </w:p>
        </w:tc>
        <w:tc>
          <w:tcPr>
            <w:tcW w:w="894" w:type="pct"/>
            <w:shd w:val="clear" w:color="auto" w:fill="auto"/>
            <w:vAlign w:val="center"/>
          </w:tcPr>
          <w:p w14:paraId="4476C530" w14:textId="77777777" w:rsidR="00D9327C" w:rsidRPr="00335CCD" w:rsidRDefault="00D9327C" w:rsidP="00335CCD">
            <w:pPr>
              <w:spacing w:after="120" w:line="360" w:lineRule="auto"/>
              <w:jc w:val="center"/>
              <w:rPr>
                <w:rFonts w:ascii="Arial" w:hAnsi="Arial" w:cs="Arial"/>
                <w:color w:val="010000"/>
                <w:sz w:val="20"/>
                <w:szCs w:val="10"/>
              </w:rPr>
            </w:pPr>
          </w:p>
        </w:tc>
      </w:tr>
    </w:tbl>
    <w:p w14:paraId="57DB3425" w14:textId="77777777" w:rsidR="00D9327C" w:rsidRPr="00335CCD" w:rsidRDefault="004B3F70" w:rsidP="00335CCD">
      <w:pPr>
        <w:pStyle w:val="Tiu10"/>
        <w:keepNext/>
        <w:spacing w:after="120" w:line="360" w:lineRule="auto"/>
        <w:outlineLvl w:val="9"/>
        <w:rPr>
          <w:rFonts w:ascii="Arial" w:hAnsi="Arial" w:cs="Arial"/>
          <w:b w:val="0"/>
          <w:color w:val="010000"/>
          <w:sz w:val="20"/>
        </w:rPr>
      </w:pPr>
      <w:r w:rsidRPr="00335CCD">
        <w:rPr>
          <w:rFonts w:ascii="Arial" w:hAnsi="Arial" w:cs="Arial"/>
          <w:b w:val="0"/>
          <w:color w:val="010000"/>
          <w:sz w:val="20"/>
        </w:rPr>
        <w:lastRenderedPageBreak/>
        <w:t>Article 2: Terms of enforcement</w:t>
      </w:r>
    </w:p>
    <w:p w14:paraId="0F6C465D" w14:textId="0A484CD1" w:rsidR="00D9327C" w:rsidRPr="00335CCD" w:rsidRDefault="004B3F70" w:rsidP="00335CCD">
      <w:pPr>
        <w:pStyle w:val="Vnbnnidung0"/>
        <w:spacing w:after="120" w:line="360" w:lineRule="auto"/>
        <w:rPr>
          <w:rFonts w:ascii="Arial" w:hAnsi="Arial" w:cs="Arial"/>
          <w:color w:val="010000"/>
          <w:sz w:val="20"/>
        </w:rPr>
      </w:pPr>
      <w:r w:rsidRPr="00335CCD">
        <w:rPr>
          <w:rFonts w:ascii="Arial" w:hAnsi="Arial" w:cs="Arial"/>
          <w:color w:val="010000"/>
          <w:sz w:val="20"/>
        </w:rPr>
        <w:t xml:space="preserve">Assign the Chair of the Board of Directors - (Ms.) Tran Thi Huong to represent the Company to sign and issue documents and decide on issues related to the registration </w:t>
      </w:r>
      <w:r w:rsidR="00A635AB" w:rsidRPr="00335CCD">
        <w:rPr>
          <w:rFonts w:ascii="Arial" w:hAnsi="Arial" w:cs="Arial"/>
          <w:color w:val="010000"/>
          <w:sz w:val="20"/>
        </w:rPr>
        <w:t xml:space="preserve">dossiers </w:t>
      </w:r>
      <w:r w:rsidRPr="00335CCD">
        <w:rPr>
          <w:rFonts w:ascii="Arial" w:hAnsi="Arial" w:cs="Arial"/>
          <w:color w:val="010000"/>
          <w:sz w:val="20"/>
        </w:rPr>
        <w:t xml:space="preserve">for private placement in 2024; Register additional securities at Vietnam Securities Depository and Clearing Corporation and Register additional share transactions at Hanoi Stock Exchange; </w:t>
      </w:r>
      <w:r w:rsidR="00A635AB" w:rsidRPr="00335CCD">
        <w:rPr>
          <w:rFonts w:ascii="Arial" w:hAnsi="Arial" w:cs="Arial"/>
          <w:color w:val="010000"/>
          <w:sz w:val="20"/>
        </w:rPr>
        <w:t>increase</w:t>
      </w:r>
      <w:r w:rsidRPr="00335CCD">
        <w:rPr>
          <w:rFonts w:ascii="Arial" w:hAnsi="Arial" w:cs="Arial"/>
          <w:color w:val="010000"/>
          <w:sz w:val="20"/>
        </w:rPr>
        <w:t xml:space="preserve"> charter capital at the </w:t>
      </w:r>
      <w:r w:rsidR="00335CCD" w:rsidRPr="00335CCD">
        <w:rPr>
          <w:rFonts w:ascii="Arial" w:hAnsi="Arial" w:cs="Arial"/>
          <w:color w:val="010000"/>
          <w:sz w:val="20"/>
        </w:rPr>
        <w:t xml:space="preserve">Danang </w:t>
      </w:r>
      <w:r w:rsidRPr="00335CCD">
        <w:rPr>
          <w:rFonts w:ascii="Arial" w:hAnsi="Arial" w:cs="Arial"/>
          <w:color w:val="010000"/>
          <w:sz w:val="20"/>
        </w:rPr>
        <w:t>Department of Planning and Investment.</w:t>
      </w:r>
    </w:p>
    <w:p w14:paraId="47D405DF" w14:textId="77777777" w:rsidR="00D9327C" w:rsidRPr="00335CCD" w:rsidRDefault="004B3F70" w:rsidP="00335CCD">
      <w:pPr>
        <w:pStyle w:val="Vnbnnidung0"/>
        <w:spacing w:after="120" w:line="360" w:lineRule="auto"/>
        <w:rPr>
          <w:rFonts w:ascii="Arial" w:hAnsi="Arial" w:cs="Arial"/>
          <w:color w:val="010000"/>
          <w:sz w:val="20"/>
        </w:rPr>
      </w:pPr>
      <w:r w:rsidRPr="00335CCD">
        <w:rPr>
          <w:rFonts w:ascii="Arial" w:hAnsi="Arial" w:cs="Arial"/>
          <w:color w:val="010000"/>
          <w:sz w:val="20"/>
        </w:rPr>
        <w:t>This Resolution takes effect from the date of its signing. Members of the Board of Directors, the Board of Management, relevant departments and individuals are responsible for the implementation of this Board Resolution.</w:t>
      </w:r>
    </w:p>
    <w:sectPr w:rsidR="00D9327C" w:rsidRPr="00335CCD" w:rsidSect="00335CCD">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25873" w14:textId="77777777" w:rsidR="00DC5CDF" w:rsidRDefault="00DC5CDF">
      <w:r>
        <w:separator/>
      </w:r>
    </w:p>
  </w:endnote>
  <w:endnote w:type="continuationSeparator" w:id="0">
    <w:p w14:paraId="429786D0" w14:textId="77777777" w:rsidR="00DC5CDF" w:rsidRDefault="00DC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060C" w14:textId="77777777" w:rsidR="00DC5CDF" w:rsidRDefault="00DC5CDF"/>
  </w:footnote>
  <w:footnote w:type="continuationSeparator" w:id="0">
    <w:p w14:paraId="5E10646A" w14:textId="77777777" w:rsidR="00DC5CDF" w:rsidRDefault="00DC5CD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F779F"/>
    <w:multiLevelType w:val="hybridMultilevel"/>
    <w:tmpl w:val="B9D22484"/>
    <w:lvl w:ilvl="0" w:tplc="C5EECF2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D3EE1"/>
    <w:multiLevelType w:val="hybridMultilevel"/>
    <w:tmpl w:val="13B08354"/>
    <w:lvl w:ilvl="0" w:tplc="351CD68C">
      <w:start w:val="5"/>
      <w:numFmt w:val="bullet"/>
      <w:lvlText w:val="-"/>
      <w:lvlJc w:val="left"/>
      <w:pPr>
        <w:ind w:left="720" w:hanging="360"/>
      </w:pPr>
      <w:rPr>
        <w:rFonts w:ascii="Arial" w:eastAsia="Times New Roman" w:hAnsi="Arial" w:cs="Arial" w:hint="default"/>
        <w:b w:val="0"/>
        <w:i w:val="0"/>
        <w:sz w:val="20"/>
      </w:rPr>
    </w:lvl>
    <w:lvl w:ilvl="1" w:tplc="7D743A56" w:tentative="1">
      <w:start w:val="1"/>
      <w:numFmt w:val="bullet"/>
      <w:lvlText w:val="o"/>
      <w:lvlJc w:val="left"/>
      <w:pPr>
        <w:ind w:left="1440" w:hanging="360"/>
      </w:pPr>
      <w:rPr>
        <w:rFonts w:ascii="Courier New" w:hAnsi="Courier New" w:cs="Courier New" w:hint="default"/>
        <w:b w:val="0"/>
        <w:i w:val="0"/>
        <w:sz w:val="20"/>
      </w:rPr>
    </w:lvl>
    <w:lvl w:ilvl="2" w:tplc="D728B63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E4243"/>
    <w:multiLevelType w:val="multilevel"/>
    <w:tmpl w:val="2D00E28C"/>
    <w:lvl w:ilvl="0">
      <w:start w:val="1"/>
      <w:numFmt w:val="bullet"/>
      <w:lvlText w:val="-"/>
      <w:lvlJc w:val="left"/>
      <w:rPr>
        <w:rFonts w:ascii="Arial" w:eastAsia="Times New Roman" w:hAnsi="Arial" w:cs="Arial"/>
        <w:b w:val="0"/>
        <w:bCs w:val="0"/>
        <w:i w:val="0"/>
        <w:iCs w:val="0"/>
        <w:smallCaps w:val="0"/>
        <w:strike w:val="0"/>
        <w:color w:val="34394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7C"/>
    <w:rsid w:val="000B346D"/>
    <w:rsid w:val="000B3598"/>
    <w:rsid w:val="00205F1A"/>
    <w:rsid w:val="00335CCD"/>
    <w:rsid w:val="00345CC4"/>
    <w:rsid w:val="004B3F70"/>
    <w:rsid w:val="004E3DB9"/>
    <w:rsid w:val="006411A9"/>
    <w:rsid w:val="00A635AB"/>
    <w:rsid w:val="00BC6948"/>
    <w:rsid w:val="00C34088"/>
    <w:rsid w:val="00D00917"/>
    <w:rsid w:val="00D9327C"/>
    <w:rsid w:val="00DC5CDF"/>
    <w:rsid w:val="00EE3397"/>
    <w:rsid w:val="00EF2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F423B"/>
  <w15:docId w15:val="{FF2972DE-7CA9-4473-9CF4-58E792A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6"/>
      <w:szCs w:val="3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4394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343940"/>
      <w:sz w:val="15"/>
      <w:szCs w:val="15"/>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4394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43940"/>
      <w:sz w:val="22"/>
      <w:szCs w:val="22"/>
      <w:u w:val="none"/>
      <w:shd w:val="clear" w:color="auto" w:fill="auto"/>
    </w:rPr>
  </w:style>
  <w:style w:type="paragraph" w:customStyle="1" w:styleId="Vnbnnidung40">
    <w:name w:val="Văn bản nội dung (4)"/>
    <w:basedOn w:val="Normal"/>
    <w:link w:val="Vnbnnidung4"/>
    <w:pPr>
      <w:jc w:val="center"/>
    </w:pPr>
    <w:rPr>
      <w:rFonts w:ascii="Arial" w:eastAsia="Arial" w:hAnsi="Arial" w:cs="Arial"/>
      <w:sz w:val="36"/>
      <w:szCs w:val="36"/>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Tiu10">
    <w:name w:val="Tiêu đề #1"/>
    <w:basedOn w:val="Normal"/>
    <w:link w:val="Tiu1"/>
    <w:pPr>
      <w:spacing w:line="298" w:lineRule="auto"/>
      <w:outlineLvl w:val="0"/>
    </w:pPr>
    <w:rPr>
      <w:rFonts w:ascii="Times New Roman" w:eastAsia="Times New Roman" w:hAnsi="Times New Roman" w:cs="Times New Roman"/>
      <w:b/>
      <w:bCs/>
      <w:color w:val="343940"/>
      <w:sz w:val="22"/>
      <w:szCs w:val="22"/>
    </w:rPr>
  </w:style>
  <w:style w:type="paragraph" w:customStyle="1" w:styleId="Vnbnnidung30">
    <w:name w:val="Văn bản nội dung (3)"/>
    <w:basedOn w:val="Normal"/>
    <w:link w:val="Vnbnnidung3"/>
    <w:pPr>
      <w:spacing w:line="226" w:lineRule="auto"/>
    </w:pPr>
    <w:rPr>
      <w:rFonts w:ascii="Times New Roman" w:eastAsia="Times New Roman" w:hAnsi="Times New Roman" w:cs="Times New Roman"/>
      <w:b/>
      <w:bCs/>
      <w:color w:val="343940"/>
      <w:sz w:val="15"/>
      <w:szCs w:val="15"/>
    </w:rPr>
  </w:style>
  <w:style w:type="paragraph" w:customStyle="1" w:styleId="Vnbnnidung0">
    <w:name w:val="Văn bản nội dung"/>
    <w:basedOn w:val="Normal"/>
    <w:link w:val="Vnbnnidung"/>
    <w:pPr>
      <w:spacing w:line="307" w:lineRule="auto"/>
    </w:pPr>
    <w:rPr>
      <w:rFonts w:ascii="Times New Roman" w:eastAsia="Times New Roman" w:hAnsi="Times New Roman" w:cs="Times New Roman"/>
      <w:color w:val="343940"/>
      <w:sz w:val="22"/>
      <w:szCs w:val="22"/>
    </w:rPr>
  </w:style>
  <w:style w:type="paragraph" w:customStyle="1" w:styleId="Khc0">
    <w:name w:val="Khác"/>
    <w:basedOn w:val="Normal"/>
    <w:link w:val="Khc"/>
    <w:pPr>
      <w:spacing w:line="307" w:lineRule="auto"/>
    </w:pPr>
    <w:rPr>
      <w:rFonts w:ascii="Times New Roman" w:eastAsia="Times New Roman" w:hAnsi="Times New Roman" w:cs="Times New Roman"/>
      <w:color w:val="3439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20</cp:revision>
  <dcterms:created xsi:type="dcterms:W3CDTF">2024-05-22T01:44:00Z</dcterms:created>
  <dcterms:modified xsi:type="dcterms:W3CDTF">2024-05-23T03:54:00Z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4d5a575f9a4de603955de5b72bd8120f1742d49a7597e1f7197cee98b979add3</vt:lpwstr>
  </property>
</Properties>
</file>