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DC3ED" w14:textId="77777777" w:rsidR="002D6AE4" w:rsidRPr="003C6A08" w:rsidRDefault="00AC5C56" w:rsidP="002025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3C6A08">
        <w:rPr>
          <w:rFonts w:ascii="Arial" w:hAnsi="Arial"/>
          <w:b/>
          <w:color w:val="010000"/>
          <w:sz w:val="20"/>
        </w:rPr>
        <w:t>ILC: Annual General Mandate 2024</w:t>
      </w:r>
    </w:p>
    <w:p w14:paraId="31B217CA" w14:textId="518B9808" w:rsidR="002D6AE4" w:rsidRPr="003C6A08" w:rsidRDefault="00AC5C56" w:rsidP="002025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>On May 18, 2024, International Labor and Services JSC announced General Mandate No. 22 NQ/DHDCD as follows:</w:t>
      </w:r>
    </w:p>
    <w:p w14:paraId="18477F2B" w14:textId="629A2F0E" w:rsidR="002D6AE4" w:rsidRPr="003C6A08" w:rsidRDefault="00AC5C56" w:rsidP="002025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 xml:space="preserve">Article 1: Approve the </w:t>
      </w:r>
      <w:r w:rsidR="0062071C" w:rsidRPr="003C6A08">
        <w:rPr>
          <w:rFonts w:ascii="Arial" w:hAnsi="Arial"/>
          <w:color w:val="010000"/>
          <w:sz w:val="20"/>
        </w:rPr>
        <w:t>R</w:t>
      </w:r>
      <w:r w:rsidRPr="003C6A08">
        <w:rPr>
          <w:rFonts w:ascii="Arial" w:hAnsi="Arial"/>
          <w:color w:val="010000"/>
          <w:sz w:val="20"/>
        </w:rPr>
        <w:t>eport on activities of the Board of Directors, Report of the Su</w:t>
      </w:r>
      <w:r w:rsidR="00202535">
        <w:rPr>
          <w:rFonts w:ascii="Arial" w:hAnsi="Arial"/>
          <w:color w:val="010000"/>
          <w:sz w:val="20"/>
        </w:rPr>
        <w:t xml:space="preserve">pervisory Board in 2023 and </w:t>
      </w:r>
      <w:r w:rsidRPr="003C6A08">
        <w:rPr>
          <w:rFonts w:ascii="Arial" w:hAnsi="Arial"/>
          <w:color w:val="010000"/>
          <w:sz w:val="20"/>
        </w:rPr>
        <w:t xml:space="preserve">plan for 2024. </w:t>
      </w:r>
    </w:p>
    <w:p w14:paraId="09E665D9" w14:textId="4C753959" w:rsidR="002D6AE4" w:rsidRPr="003C6A08" w:rsidRDefault="00AC5C56" w:rsidP="002025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 xml:space="preserve">Article 2: Approve the </w:t>
      </w:r>
      <w:r w:rsidR="0062071C" w:rsidRPr="003C6A08">
        <w:rPr>
          <w:rFonts w:ascii="Arial" w:hAnsi="Arial"/>
          <w:color w:val="010000"/>
          <w:sz w:val="20"/>
        </w:rPr>
        <w:t>A</w:t>
      </w:r>
      <w:r w:rsidRPr="003C6A08">
        <w:rPr>
          <w:rFonts w:ascii="Arial" w:hAnsi="Arial"/>
          <w:color w:val="010000"/>
          <w:sz w:val="20"/>
        </w:rPr>
        <w:t xml:space="preserve">udited </w:t>
      </w:r>
      <w:r w:rsidR="0062071C" w:rsidRPr="003C6A08">
        <w:rPr>
          <w:rFonts w:ascii="Arial" w:hAnsi="Arial"/>
          <w:color w:val="010000"/>
          <w:sz w:val="20"/>
        </w:rPr>
        <w:t>Report on business results in</w:t>
      </w:r>
      <w:r w:rsidRPr="003C6A08">
        <w:rPr>
          <w:rFonts w:ascii="Arial" w:hAnsi="Arial"/>
          <w:color w:val="010000"/>
          <w:sz w:val="20"/>
        </w:rPr>
        <w:t xml:space="preserve"> 2023 with implemented targets as follows:</w:t>
      </w:r>
    </w:p>
    <w:p w14:paraId="66DDE569" w14:textId="116FB5B6" w:rsidR="002D6AE4" w:rsidRPr="003C6A08" w:rsidRDefault="00AC5C56" w:rsidP="002025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 xml:space="preserve">Business results of </w:t>
      </w:r>
      <w:proofErr w:type="spellStart"/>
      <w:r w:rsidR="0062071C" w:rsidRPr="003C6A08">
        <w:rPr>
          <w:rFonts w:ascii="Arial" w:hAnsi="Arial"/>
          <w:color w:val="010000"/>
          <w:sz w:val="20"/>
        </w:rPr>
        <w:t>Inlaco</w:t>
      </w:r>
      <w:proofErr w:type="spellEnd"/>
      <w:r w:rsidR="0062071C" w:rsidRPr="003C6A08">
        <w:rPr>
          <w:rFonts w:ascii="Arial" w:hAnsi="Arial"/>
          <w:color w:val="010000"/>
          <w:sz w:val="20"/>
        </w:rPr>
        <w:t>-HP</w:t>
      </w:r>
      <w:r w:rsidRPr="003C6A08">
        <w:rPr>
          <w:rFonts w:ascii="Arial" w:hAnsi="Arial"/>
          <w:color w:val="010000"/>
          <w:sz w:val="20"/>
        </w:rPr>
        <w:t xml:space="preserve"> and </w:t>
      </w:r>
      <w:r w:rsidR="0062071C" w:rsidRPr="003C6A08">
        <w:rPr>
          <w:rFonts w:ascii="Arial" w:hAnsi="Arial"/>
          <w:color w:val="010000"/>
          <w:sz w:val="20"/>
        </w:rPr>
        <w:t>IMSCO</w:t>
      </w:r>
      <w:r w:rsidRPr="003C6A08">
        <w:rPr>
          <w:rFonts w:ascii="Arial" w:hAnsi="Arial"/>
          <w:color w:val="010000"/>
          <w:sz w:val="20"/>
        </w:rPr>
        <w:t xml:space="preserve"> in 2023</w:t>
      </w:r>
    </w:p>
    <w:p w14:paraId="69B6D418" w14:textId="059AC78F" w:rsidR="002D6AE4" w:rsidRPr="003C6A08" w:rsidRDefault="00AC5C56" w:rsidP="00AC5C5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>Unit</w:t>
      </w:r>
      <w:r w:rsidR="0062071C" w:rsidRPr="003C6A08">
        <w:rPr>
          <w:rFonts w:ascii="Arial" w:hAnsi="Arial"/>
          <w:color w:val="010000"/>
          <w:sz w:val="20"/>
        </w:rPr>
        <w:t>:</w:t>
      </w:r>
      <w:r w:rsidRPr="003C6A08">
        <w:rPr>
          <w:rFonts w:ascii="Arial" w:hAnsi="Arial"/>
          <w:color w:val="010000"/>
          <w:sz w:val="20"/>
        </w:rPr>
        <w:t xml:space="preserve"> Thousand VND</w:t>
      </w:r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702"/>
        <w:gridCol w:w="2396"/>
        <w:gridCol w:w="1269"/>
        <w:gridCol w:w="1268"/>
        <w:gridCol w:w="1410"/>
        <w:gridCol w:w="986"/>
        <w:gridCol w:w="985"/>
      </w:tblGrid>
      <w:tr w:rsidR="00AC5C56" w:rsidRPr="003C6A08" w14:paraId="547491F5" w14:textId="77777777" w:rsidTr="00AC5C56"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F38C97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No.</w:t>
            </w:r>
          </w:p>
        </w:tc>
        <w:tc>
          <w:tcPr>
            <w:tcW w:w="13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65379A" w14:textId="1DE67485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Target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512D202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 xml:space="preserve">Plan 2023 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0F6001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Results</w:t>
            </w:r>
          </w:p>
        </w:tc>
        <w:tc>
          <w:tcPr>
            <w:tcW w:w="109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E2F8EE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 xml:space="preserve">% compared with </w:t>
            </w:r>
          </w:p>
        </w:tc>
      </w:tr>
      <w:tr w:rsidR="00AC5C56" w:rsidRPr="003C6A08" w14:paraId="76F6089E" w14:textId="77777777" w:rsidTr="00AC5C56"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10597F" w14:textId="77777777" w:rsidR="002D6AE4" w:rsidRPr="003C6A08" w:rsidRDefault="002D6AE4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32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46096B" w14:textId="77777777" w:rsidR="002D6AE4" w:rsidRPr="003C6A08" w:rsidRDefault="002D6AE4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E4351F" w14:textId="77777777" w:rsidR="002D6AE4" w:rsidRPr="003C6A08" w:rsidRDefault="002D6AE4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D6CBA4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2023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4F2333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2022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064673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Plan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C98B69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2022</w:t>
            </w:r>
          </w:p>
        </w:tc>
      </w:tr>
      <w:tr w:rsidR="00AC5C56" w:rsidRPr="003C6A08" w14:paraId="77533A6B" w14:textId="77777777" w:rsidTr="00AC5C56">
        <w:tc>
          <w:tcPr>
            <w:tcW w:w="3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B58E8E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2AD2D9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Revenue from production and business activities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E7B2EF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164,200,000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C86E71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180,024,173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41A2F1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217,689,230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14D2BE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109.64%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E578AC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82.70%</w:t>
            </w:r>
          </w:p>
        </w:tc>
      </w:tr>
      <w:tr w:rsidR="00AC5C56" w:rsidRPr="003C6A08" w14:paraId="7314DB45" w14:textId="77777777" w:rsidTr="00AC5C56">
        <w:tc>
          <w:tcPr>
            <w:tcW w:w="3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F51634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a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61A222" w14:textId="77777777" w:rsidR="002D6AE4" w:rsidRPr="003C6A08" w:rsidRDefault="00AC5C56" w:rsidP="00AC5C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Marine service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95B2A4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1,200,000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F31193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1,375,821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F5FFA1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4,957,072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5CAB6A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114.65%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28D8E1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27.75%</w:t>
            </w:r>
          </w:p>
        </w:tc>
      </w:tr>
      <w:tr w:rsidR="00AC5C56" w:rsidRPr="003C6A08" w14:paraId="1F5D78CE" w14:textId="77777777" w:rsidTr="00AC5C56">
        <w:tc>
          <w:tcPr>
            <w:tcW w:w="3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2CD45D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b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DBB5A7" w14:textId="77777777" w:rsidR="002D6AE4" w:rsidRPr="003C6A08" w:rsidRDefault="00AC5C56" w:rsidP="00AC5C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Labor for hire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D46E2E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162,200,000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93D97A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158,854,815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0B1B20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211,976,862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1C737D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97.94%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876C96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74.94%</w:t>
            </w:r>
          </w:p>
        </w:tc>
      </w:tr>
      <w:tr w:rsidR="00AC5C56" w:rsidRPr="003C6A08" w14:paraId="21DAFF55" w14:textId="77777777" w:rsidTr="00AC5C56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F04728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c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E6BEF2" w14:textId="2D10D54E" w:rsidR="002D6AE4" w:rsidRPr="003C6A08" w:rsidRDefault="00AC5C56" w:rsidP="00AC5C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Office rent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381597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800,000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A12D3A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677,617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50EF25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755,296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F35FFF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84.70%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B66F5C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89.72%</w:t>
            </w:r>
          </w:p>
        </w:tc>
      </w:tr>
      <w:tr w:rsidR="00AC5C56" w:rsidRPr="003C6A08" w14:paraId="0597D67E" w14:textId="77777777" w:rsidTr="00AC5C56">
        <w:tc>
          <w:tcPr>
            <w:tcW w:w="3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822170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d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49C36B" w14:textId="77777777" w:rsidR="002D6AE4" w:rsidRPr="003C6A08" w:rsidRDefault="00AC5C56" w:rsidP="00AC5C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Commercial activities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DAB1C4" w14:textId="77777777" w:rsidR="002D6AE4" w:rsidRPr="003C6A08" w:rsidRDefault="002D6AE4" w:rsidP="00AC5C5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E29A80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19,115,920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4DE25D" w14:textId="77777777" w:rsidR="002D6AE4" w:rsidRPr="003C6A08" w:rsidRDefault="002D6AE4" w:rsidP="00AC5C5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F1D6A8" w14:textId="77777777" w:rsidR="002D6AE4" w:rsidRPr="003C6A08" w:rsidRDefault="002D6AE4" w:rsidP="00AC5C5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C4F92C" w14:textId="77777777" w:rsidR="002D6AE4" w:rsidRPr="003C6A08" w:rsidRDefault="002D6AE4" w:rsidP="00AC5C5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AC5C56" w:rsidRPr="003C6A08" w14:paraId="2DE09767" w14:textId="77777777" w:rsidTr="00AC5C56">
        <w:tc>
          <w:tcPr>
            <w:tcW w:w="3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0C5A85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2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F96360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Profit (Loss)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664984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10,500,000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1F3F85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4,664,418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D4A0D0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18,865,618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2A410C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44.42%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0E625E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24.72%</w:t>
            </w:r>
          </w:p>
        </w:tc>
      </w:tr>
      <w:tr w:rsidR="00AC5C56" w:rsidRPr="003C6A08" w14:paraId="6198B26C" w14:textId="77777777" w:rsidTr="00AC5C56">
        <w:tc>
          <w:tcPr>
            <w:tcW w:w="3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1D096F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a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FFB7F3" w14:textId="4E6B57A1" w:rsidR="002D6AE4" w:rsidRPr="003C6A08" w:rsidRDefault="00AC5C56" w:rsidP="00AC5C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From main</w:t>
            </w:r>
            <w:r w:rsidR="0062071C" w:rsidRPr="003C6A08">
              <w:rPr>
                <w:rFonts w:ascii="Arial" w:hAnsi="Arial"/>
                <w:color w:val="010000"/>
                <w:sz w:val="20"/>
              </w:rPr>
              <w:t xml:space="preserve"> </w:t>
            </w:r>
            <w:r w:rsidRPr="003C6A08">
              <w:rPr>
                <w:rFonts w:ascii="Arial" w:hAnsi="Arial"/>
                <w:color w:val="010000"/>
                <w:sz w:val="20"/>
              </w:rPr>
              <w:t>production and business activities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40A9D7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10,500,000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C0584E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10,567,263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208487A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18,865,618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D16D99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100.64%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667B65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56.01%</w:t>
            </w:r>
          </w:p>
        </w:tc>
      </w:tr>
      <w:tr w:rsidR="00AC5C56" w:rsidRPr="003C6A08" w14:paraId="7EC60A5F" w14:textId="77777777" w:rsidTr="00AC5C56">
        <w:tc>
          <w:tcPr>
            <w:tcW w:w="3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01C62E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b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1CB098" w14:textId="365022CF" w:rsidR="002D6AE4" w:rsidRPr="003C6A08" w:rsidRDefault="0062071C" w:rsidP="00AC5C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Provision for</w:t>
            </w:r>
            <w:r w:rsidR="00AC5C56" w:rsidRPr="003C6A08">
              <w:rPr>
                <w:rFonts w:ascii="Arial" w:hAnsi="Arial"/>
                <w:color w:val="010000"/>
                <w:sz w:val="20"/>
              </w:rPr>
              <w:t xml:space="preserve"> investment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AFA7E8" w14:textId="77777777" w:rsidR="002D6AE4" w:rsidRPr="003C6A08" w:rsidRDefault="002D6AE4" w:rsidP="00AC5C5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C976AE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(5,902,844)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DAAD60" w14:textId="77777777" w:rsidR="002D6AE4" w:rsidRPr="003C6A08" w:rsidRDefault="002D6AE4" w:rsidP="00AC5C5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3A369B" w14:textId="77777777" w:rsidR="002D6AE4" w:rsidRPr="003C6A08" w:rsidRDefault="002D6AE4" w:rsidP="00AC5C5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4DC687" w14:textId="77777777" w:rsidR="002D6AE4" w:rsidRPr="003C6A08" w:rsidRDefault="002D6AE4" w:rsidP="00AC5C5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AC5C56" w:rsidRPr="003C6A08" w14:paraId="6401756A" w14:textId="77777777" w:rsidTr="00AC5C56">
        <w:tc>
          <w:tcPr>
            <w:tcW w:w="3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88DCEB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c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8FE755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Corporate income tax expense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AA780E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2,100,000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CC7233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978,761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45E272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0D1A09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46.61%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ACB752" w14:textId="77777777" w:rsidR="002D6AE4" w:rsidRPr="003C6A08" w:rsidRDefault="002D6AE4" w:rsidP="00AC5C5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AC5C56" w:rsidRPr="003C6A08" w14:paraId="7E4AAADE" w14:textId="77777777" w:rsidTr="00AC5C56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025F4B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d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0E766C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Profit after tax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E1CD39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8,400,000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8AE230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3,685,657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144D83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18,865,618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EE8105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43.88%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D85BE7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19.54%</w:t>
            </w:r>
          </w:p>
        </w:tc>
      </w:tr>
    </w:tbl>
    <w:p w14:paraId="118A13D1" w14:textId="38B61E36" w:rsidR="002D6AE4" w:rsidRPr="003C6A08" w:rsidRDefault="00AC5C56" w:rsidP="00AC5C5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 xml:space="preserve">Business results according to the </w:t>
      </w:r>
      <w:r w:rsidR="0062071C" w:rsidRPr="003C6A08">
        <w:rPr>
          <w:rFonts w:ascii="Arial" w:hAnsi="Arial"/>
          <w:color w:val="010000"/>
          <w:sz w:val="20"/>
        </w:rPr>
        <w:t xml:space="preserve">Consolidated Report </w:t>
      </w:r>
      <w:r w:rsidRPr="003C6A08">
        <w:rPr>
          <w:rFonts w:ascii="Arial" w:hAnsi="Arial"/>
          <w:color w:val="010000"/>
          <w:sz w:val="20"/>
        </w:rPr>
        <w:t>in 2023</w:t>
      </w:r>
    </w:p>
    <w:p w14:paraId="7926F47E" w14:textId="3DB1E16C" w:rsidR="002D6AE4" w:rsidRPr="003C6A08" w:rsidRDefault="00AC5C56" w:rsidP="00AC5C5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>Unit</w:t>
      </w:r>
      <w:r w:rsidR="0062071C" w:rsidRPr="003C6A08">
        <w:rPr>
          <w:rFonts w:ascii="Arial" w:hAnsi="Arial"/>
          <w:color w:val="010000"/>
          <w:sz w:val="20"/>
        </w:rPr>
        <w:t>:</w:t>
      </w:r>
      <w:r w:rsidRPr="003C6A08">
        <w:rPr>
          <w:rFonts w:ascii="Arial" w:hAnsi="Arial"/>
          <w:color w:val="010000"/>
          <w:sz w:val="20"/>
        </w:rPr>
        <w:t xml:space="preserve"> Thousand VND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20"/>
        <w:gridCol w:w="1361"/>
        <w:gridCol w:w="1367"/>
        <w:gridCol w:w="1361"/>
        <w:gridCol w:w="1268"/>
        <w:gridCol w:w="1439"/>
      </w:tblGrid>
      <w:tr w:rsidR="002D6AE4" w:rsidRPr="003C6A08" w14:paraId="02BF4EAA" w14:textId="77777777" w:rsidTr="00AC5C56">
        <w:tc>
          <w:tcPr>
            <w:tcW w:w="1231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7E6F1F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Explanation</w:t>
            </w:r>
          </w:p>
        </w:tc>
        <w:tc>
          <w:tcPr>
            <w:tcW w:w="2268" w:type="pct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79E117" w14:textId="356DEEA9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Results</w:t>
            </w:r>
            <w:r w:rsidR="0062071C" w:rsidRPr="003C6A08">
              <w:rPr>
                <w:rFonts w:ascii="Arial" w:hAnsi="Arial"/>
                <w:color w:val="010000"/>
                <w:sz w:val="20"/>
              </w:rPr>
              <w:t xml:space="preserve"> in</w:t>
            </w:r>
            <w:r w:rsidRPr="003C6A08">
              <w:rPr>
                <w:rFonts w:ascii="Arial" w:hAnsi="Arial"/>
                <w:color w:val="010000"/>
                <w:sz w:val="20"/>
              </w:rPr>
              <w:t xml:space="preserve"> 2023</w:t>
            </w:r>
          </w:p>
        </w:tc>
        <w:tc>
          <w:tcPr>
            <w:tcW w:w="703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BCE741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Consolidated results in 2023</w:t>
            </w:r>
          </w:p>
        </w:tc>
        <w:tc>
          <w:tcPr>
            <w:tcW w:w="798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006F6C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Consolidated results in 2022</w:t>
            </w:r>
          </w:p>
        </w:tc>
      </w:tr>
      <w:tr w:rsidR="002D6AE4" w:rsidRPr="003C6A08" w14:paraId="48289132" w14:textId="77777777" w:rsidTr="00AC5C56">
        <w:tc>
          <w:tcPr>
            <w:tcW w:w="1231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398DBA" w14:textId="77777777" w:rsidR="002D6AE4" w:rsidRPr="003C6A08" w:rsidRDefault="002D6AE4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FED45E" w14:textId="79185488" w:rsidR="002D6AE4" w:rsidRPr="003C6A08" w:rsidRDefault="0062071C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spellStart"/>
            <w:r w:rsidRPr="003C6A08">
              <w:rPr>
                <w:rFonts w:ascii="Arial" w:hAnsi="Arial"/>
                <w:color w:val="010000"/>
                <w:sz w:val="20"/>
              </w:rPr>
              <w:t>Inlaco</w:t>
            </w:r>
            <w:proofErr w:type="spellEnd"/>
            <w:r w:rsidR="00AC5C56" w:rsidRPr="003C6A08">
              <w:rPr>
                <w:rFonts w:ascii="Arial" w:hAnsi="Arial"/>
                <w:color w:val="010000"/>
                <w:sz w:val="20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25E2AC" w14:textId="6B65F292" w:rsidR="002D6AE4" w:rsidRPr="003C6A08" w:rsidRDefault="0062071C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eastAsia="Arial" w:hAnsi="Arial" w:cs="Arial"/>
                <w:color w:val="010000"/>
                <w:sz w:val="20"/>
                <w:szCs w:val="20"/>
              </w:rPr>
              <w:t>IMSCO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75C9D6" w14:textId="1B0C6907" w:rsidR="002D6AE4" w:rsidRPr="003C6A08" w:rsidRDefault="0062071C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spellStart"/>
            <w:r w:rsidRPr="003C6A08">
              <w:rPr>
                <w:rFonts w:ascii="Arial" w:hAnsi="Arial"/>
                <w:color w:val="010000"/>
                <w:sz w:val="20"/>
              </w:rPr>
              <w:t>Inlavesco</w:t>
            </w:r>
            <w:proofErr w:type="spellEnd"/>
          </w:p>
        </w:tc>
        <w:tc>
          <w:tcPr>
            <w:tcW w:w="703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CCD90D" w14:textId="77777777" w:rsidR="002D6AE4" w:rsidRPr="003C6A08" w:rsidRDefault="002D6AE4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98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AFBE69" w14:textId="77777777" w:rsidR="002D6AE4" w:rsidRPr="003C6A08" w:rsidRDefault="002D6AE4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2D6AE4" w:rsidRPr="003C6A08" w14:paraId="5CDCE20A" w14:textId="77777777" w:rsidTr="00AC5C56">
        <w:tc>
          <w:tcPr>
            <w:tcW w:w="1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56F6D7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 xml:space="preserve">Revenue from production and business </w:t>
            </w:r>
            <w:r w:rsidRPr="003C6A08">
              <w:rPr>
                <w:rFonts w:ascii="Arial" w:hAnsi="Arial"/>
                <w:color w:val="010000"/>
                <w:sz w:val="20"/>
              </w:rPr>
              <w:lastRenderedPageBreak/>
              <w:t>activities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48817A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lastRenderedPageBreak/>
              <w:t>99,007,355</w:t>
            </w:r>
          </w:p>
        </w:tc>
        <w:tc>
          <w:tcPr>
            <w:tcW w:w="7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9C0A52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84,641,584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44E64C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24,363,043</w:t>
            </w:r>
          </w:p>
        </w:tc>
        <w:tc>
          <w:tcPr>
            <w:tcW w:w="7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543CAD9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184,376,019</w:t>
            </w:r>
          </w:p>
        </w:tc>
        <w:tc>
          <w:tcPr>
            <w:tcW w:w="79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C9CD7C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231,361,292</w:t>
            </w:r>
          </w:p>
        </w:tc>
      </w:tr>
      <w:tr w:rsidR="002D6AE4" w:rsidRPr="003C6A08" w14:paraId="7F9E10EA" w14:textId="77777777" w:rsidTr="00AC5C56">
        <w:tc>
          <w:tcPr>
            <w:tcW w:w="1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D88B3A" w14:textId="77777777" w:rsidR="002D6AE4" w:rsidRPr="003C6A08" w:rsidRDefault="00AC5C56" w:rsidP="00AC5C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lastRenderedPageBreak/>
              <w:t>Marine service and transportation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61F1A2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1,375,821</w:t>
            </w:r>
          </w:p>
        </w:tc>
        <w:tc>
          <w:tcPr>
            <w:tcW w:w="7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7FAB37" w14:textId="77777777" w:rsidR="002D6AE4" w:rsidRPr="003C6A08" w:rsidRDefault="002D6AE4" w:rsidP="00AC5C5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D8553F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4,205,600</w:t>
            </w:r>
          </w:p>
        </w:tc>
        <w:tc>
          <w:tcPr>
            <w:tcW w:w="7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4AF388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5,581,421</w:t>
            </w:r>
          </w:p>
        </w:tc>
        <w:tc>
          <w:tcPr>
            <w:tcW w:w="79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6D713E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18,600,440</w:t>
            </w:r>
          </w:p>
        </w:tc>
      </w:tr>
      <w:tr w:rsidR="002D6AE4" w:rsidRPr="003C6A08" w14:paraId="1375DBD0" w14:textId="77777777" w:rsidTr="00AC5C56">
        <w:tc>
          <w:tcPr>
            <w:tcW w:w="1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FBE674" w14:textId="77777777" w:rsidR="002D6AE4" w:rsidRPr="003C6A08" w:rsidRDefault="00AC5C56" w:rsidP="00AC5C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Labor for hire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C4DD4F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77,477,997</w:t>
            </w:r>
          </w:p>
        </w:tc>
        <w:tc>
          <w:tcPr>
            <w:tcW w:w="7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26B1290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84,641,584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B409AF" w14:textId="77777777" w:rsidR="002D6AE4" w:rsidRPr="003C6A08" w:rsidRDefault="002D6AE4" w:rsidP="00AC5C5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E46394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158,854,815</w:t>
            </w:r>
          </w:p>
        </w:tc>
        <w:tc>
          <w:tcPr>
            <w:tcW w:w="79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CCF8E9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211,976,862</w:t>
            </w:r>
          </w:p>
        </w:tc>
      </w:tr>
      <w:tr w:rsidR="002D6AE4" w:rsidRPr="003C6A08" w14:paraId="48187345" w14:textId="77777777" w:rsidTr="00AC5C56">
        <w:tc>
          <w:tcPr>
            <w:tcW w:w="1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7E73E2" w14:textId="462604AD" w:rsidR="002D6AE4" w:rsidRPr="003C6A08" w:rsidRDefault="00AC5C56" w:rsidP="00AC5C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Office rent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307D38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1,037,617</w:t>
            </w:r>
          </w:p>
        </w:tc>
        <w:tc>
          <w:tcPr>
            <w:tcW w:w="7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409833" w14:textId="77777777" w:rsidR="002D6AE4" w:rsidRPr="003C6A08" w:rsidRDefault="002D6AE4" w:rsidP="00AC5C5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1BA19D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908,340</w:t>
            </w:r>
          </w:p>
        </w:tc>
        <w:tc>
          <w:tcPr>
            <w:tcW w:w="7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13C9A5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690,680</w:t>
            </w:r>
          </w:p>
        </w:tc>
        <w:tc>
          <w:tcPr>
            <w:tcW w:w="79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2B8EF7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783,990</w:t>
            </w:r>
          </w:p>
        </w:tc>
      </w:tr>
      <w:tr w:rsidR="002D6AE4" w:rsidRPr="003C6A08" w14:paraId="54FDDA35" w14:textId="77777777" w:rsidTr="00AC5C56">
        <w:tc>
          <w:tcPr>
            <w:tcW w:w="1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0AFA3A" w14:textId="77777777" w:rsidR="002D6AE4" w:rsidRPr="003C6A08" w:rsidRDefault="00AC5C56" w:rsidP="00AC5C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Commercial activities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2E6CF1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19,115,920</w:t>
            </w:r>
          </w:p>
        </w:tc>
        <w:tc>
          <w:tcPr>
            <w:tcW w:w="7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164CB7" w14:textId="77777777" w:rsidR="002D6AE4" w:rsidRPr="003C6A08" w:rsidRDefault="002D6AE4" w:rsidP="00AC5C5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89E94A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19,249,103</w:t>
            </w:r>
          </w:p>
        </w:tc>
        <w:tc>
          <w:tcPr>
            <w:tcW w:w="7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C7896E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19,249,103</w:t>
            </w:r>
          </w:p>
        </w:tc>
        <w:tc>
          <w:tcPr>
            <w:tcW w:w="79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F04117" w14:textId="77777777" w:rsidR="002D6AE4" w:rsidRPr="003C6A08" w:rsidRDefault="002D6AE4" w:rsidP="00AC5C5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2D6AE4" w:rsidRPr="003C6A08" w14:paraId="248163A1" w14:textId="77777777" w:rsidTr="00AC5C56">
        <w:tc>
          <w:tcPr>
            <w:tcW w:w="1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A90EB4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Profit (Loss)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A5D4FF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667,901</w:t>
            </w:r>
          </w:p>
        </w:tc>
        <w:tc>
          <w:tcPr>
            <w:tcW w:w="7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E93106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3,996,517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0A8CB7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(7,758,332)</w:t>
            </w:r>
          </w:p>
        </w:tc>
        <w:tc>
          <w:tcPr>
            <w:tcW w:w="7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C54B02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2,676,447</w:t>
            </w:r>
          </w:p>
        </w:tc>
        <w:tc>
          <w:tcPr>
            <w:tcW w:w="79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DB4F64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18,977,792</w:t>
            </w:r>
          </w:p>
        </w:tc>
      </w:tr>
      <w:tr w:rsidR="002D6AE4" w:rsidRPr="003C6A08" w14:paraId="4AC6908F" w14:textId="77777777" w:rsidTr="00AC5C56">
        <w:tc>
          <w:tcPr>
            <w:tcW w:w="1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D7E917" w14:textId="77777777" w:rsidR="002D6AE4" w:rsidRPr="003C6A08" w:rsidRDefault="00AC5C56" w:rsidP="00AC5C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 xml:space="preserve">From production and business activities 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15C36B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6,570,746</w:t>
            </w:r>
          </w:p>
        </w:tc>
        <w:tc>
          <w:tcPr>
            <w:tcW w:w="7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F68BDA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3,996,517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601BF0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433,924</w:t>
            </w:r>
          </w:p>
        </w:tc>
        <w:tc>
          <w:tcPr>
            <w:tcW w:w="7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1CA353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8,579,291</w:t>
            </w:r>
          </w:p>
        </w:tc>
        <w:tc>
          <w:tcPr>
            <w:tcW w:w="79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B27887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18,977,792</w:t>
            </w:r>
          </w:p>
        </w:tc>
      </w:tr>
      <w:tr w:rsidR="002D6AE4" w:rsidRPr="003C6A08" w14:paraId="1970C517" w14:textId="77777777" w:rsidTr="00AC5C56">
        <w:tc>
          <w:tcPr>
            <w:tcW w:w="1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A49CA9" w14:textId="76B3E6B0" w:rsidR="002D6AE4" w:rsidRPr="003C6A08" w:rsidRDefault="0062071C" w:rsidP="00AC5C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Provision for</w:t>
            </w:r>
            <w:r w:rsidR="00AC5C56" w:rsidRPr="003C6A08">
              <w:rPr>
                <w:rFonts w:ascii="Arial" w:hAnsi="Arial"/>
                <w:color w:val="010000"/>
                <w:sz w:val="20"/>
              </w:rPr>
              <w:t xml:space="preserve"> financial investment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1AC9A6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(5,902,845)</w:t>
            </w:r>
          </w:p>
        </w:tc>
        <w:tc>
          <w:tcPr>
            <w:tcW w:w="7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B6BF5F" w14:textId="77777777" w:rsidR="002D6AE4" w:rsidRPr="003C6A08" w:rsidRDefault="002D6AE4" w:rsidP="00AC5C5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D85FBB" w14:textId="77777777" w:rsidR="002D6AE4" w:rsidRPr="003C6A08" w:rsidRDefault="002D6AE4" w:rsidP="00AC5C5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DD2F98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(5,902,845)</w:t>
            </w:r>
          </w:p>
        </w:tc>
        <w:tc>
          <w:tcPr>
            <w:tcW w:w="79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77CFEF" w14:textId="77777777" w:rsidR="002D6AE4" w:rsidRPr="003C6A08" w:rsidRDefault="002D6AE4" w:rsidP="00AC5C5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2D6AE4" w:rsidRPr="003C6A08" w14:paraId="15CAAD78" w14:textId="77777777" w:rsidTr="00AC5C56">
        <w:tc>
          <w:tcPr>
            <w:tcW w:w="1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45BEDA" w14:textId="77777777" w:rsidR="002D6AE4" w:rsidRPr="003C6A08" w:rsidRDefault="00AC5C56" w:rsidP="00AC5C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Le Lai land recovery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B76D37" w14:textId="77777777" w:rsidR="002D6AE4" w:rsidRPr="003C6A08" w:rsidRDefault="002D6AE4" w:rsidP="00AC5C5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E59D69" w14:textId="77777777" w:rsidR="002D6AE4" w:rsidRPr="003C6A08" w:rsidRDefault="002D6AE4" w:rsidP="00AC5C5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D4BB75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(8,192,256)</w:t>
            </w:r>
          </w:p>
        </w:tc>
        <w:tc>
          <w:tcPr>
            <w:tcW w:w="7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284A26" w14:textId="77777777" w:rsidR="002D6AE4" w:rsidRPr="003C6A08" w:rsidRDefault="002D6AE4" w:rsidP="00AC5C5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B17B0E" w14:textId="77777777" w:rsidR="002D6AE4" w:rsidRPr="003C6A08" w:rsidRDefault="002D6AE4" w:rsidP="00AC5C5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2D6AE4" w:rsidRPr="003C6A08" w14:paraId="3E759F01" w14:textId="77777777" w:rsidTr="00AC5C56">
        <w:tc>
          <w:tcPr>
            <w:tcW w:w="1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6D7EDB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Corporate income tax expense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A85C1E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177,032</w:t>
            </w:r>
          </w:p>
        </w:tc>
        <w:tc>
          <w:tcPr>
            <w:tcW w:w="7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E2CC75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801,728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CA6B03" w14:textId="77777777" w:rsidR="002D6AE4" w:rsidRPr="003C6A08" w:rsidRDefault="002D6AE4" w:rsidP="00AC5C56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782902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617,603</w:t>
            </w:r>
          </w:p>
        </w:tc>
        <w:tc>
          <w:tcPr>
            <w:tcW w:w="79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6CA002C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19,028</w:t>
            </w:r>
          </w:p>
        </w:tc>
      </w:tr>
      <w:tr w:rsidR="002D6AE4" w:rsidRPr="003C6A08" w14:paraId="304B519A" w14:textId="77777777" w:rsidTr="00AC5C56">
        <w:tc>
          <w:tcPr>
            <w:tcW w:w="1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61CF7E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Profit after tax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61DE5A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490,869</w:t>
            </w:r>
          </w:p>
        </w:tc>
        <w:tc>
          <w:tcPr>
            <w:tcW w:w="7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9C0AC6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3,194,789</w:t>
            </w:r>
          </w:p>
        </w:tc>
        <w:tc>
          <w:tcPr>
            <w:tcW w:w="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560CDE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(7,758,332)</w:t>
            </w:r>
          </w:p>
        </w:tc>
        <w:tc>
          <w:tcPr>
            <w:tcW w:w="7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63890AA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2,058,843</w:t>
            </w:r>
          </w:p>
        </w:tc>
        <w:tc>
          <w:tcPr>
            <w:tcW w:w="79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12B8E0" w14:textId="77777777" w:rsidR="002D6AE4" w:rsidRPr="003C6A08" w:rsidRDefault="00AC5C56" w:rsidP="00AC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C6A08">
              <w:rPr>
                <w:rFonts w:ascii="Arial" w:hAnsi="Arial"/>
                <w:color w:val="010000"/>
                <w:sz w:val="20"/>
              </w:rPr>
              <w:t>18,958,764</w:t>
            </w:r>
          </w:p>
        </w:tc>
      </w:tr>
    </w:tbl>
    <w:p w14:paraId="54864DE5" w14:textId="5A25B0E5" w:rsidR="002D6AE4" w:rsidRPr="003C6A08" w:rsidRDefault="00AC5C56" w:rsidP="002025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 xml:space="preserve">Approve the </w:t>
      </w:r>
      <w:r w:rsidR="0062071C" w:rsidRPr="003C6A08">
        <w:rPr>
          <w:rFonts w:ascii="Arial" w:hAnsi="Arial"/>
          <w:color w:val="010000"/>
          <w:sz w:val="20"/>
        </w:rPr>
        <w:t>realized</w:t>
      </w:r>
      <w:r w:rsidRPr="003C6A08">
        <w:rPr>
          <w:rFonts w:ascii="Arial" w:hAnsi="Arial"/>
          <w:color w:val="010000"/>
          <w:sz w:val="20"/>
        </w:rPr>
        <w:t xml:space="preserve"> salary targets in 2023</w:t>
      </w:r>
    </w:p>
    <w:p w14:paraId="3F6738F0" w14:textId="351019A6" w:rsidR="002D6AE4" w:rsidRPr="003C6A08" w:rsidRDefault="0062071C" w:rsidP="002025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 xml:space="preserve">Realized </w:t>
      </w:r>
      <w:r w:rsidR="00AC5C56" w:rsidRPr="003C6A08">
        <w:rPr>
          <w:rFonts w:ascii="Arial" w:hAnsi="Arial"/>
          <w:color w:val="010000"/>
          <w:sz w:val="20"/>
        </w:rPr>
        <w:t xml:space="preserve">unit price of salary in 2023: 4.77% of total revenue, equivalent to 86.73% of the </w:t>
      </w:r>
      <w:r w:rsidRPr="003C6A08">
        <w:rPr>
          <w:rFonts w:ascii="Arial" w:hAnsi="Arial"/>
          <w:color w:val="010000"/>
          <w:sz w:val="20"/>
        </w:rPr>
        <w:t xml:space="preserve">planned </w:t>
      </w:r>
      <w:r w:rsidR="00AC5C56" w:rsidRPr="003C6A08">
        <w:rPr>
          <w:rFonts w:ascii="Arial" w:hAnsi="Arial"/>
          <w:color w:val="010000"/>
          <w:sz w:val="20"/>
        </w:rPr>
        <w:t>spending according to the approved Annual General Mandate 2024.</w:t>
      </w:r>
    </w:p>
    <w:p w14:paraId="7600147E" w14:textId="77777777" w:rsidR="002D6AE4" w:rsidRPr="003C6A08" w:rsidRDefault="00AC5C56" w:rsidP="002025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>Article 3: Approve the business plan in 2024</w:t>
      </w:r>
    </w:p>
    <w:p w14:paraId="7C1F26A6" w14:textId="3563845B" w:rsidR="002D6AE4" w:rsidRPr="003C6A08" w:rsidRDefault="00AC5C56" w:rsidP="002025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 xml:space="preserve">The Company announces the plan for the </w:t>
      </w:r>
      <w:r w:rsidR="0062071C" w:rsidRPr="003C6A08">
        <w:rPr>
          <w:rFonts w:ascii="Arial" w:hAnsi="Arial"/>
          <w:color w:val="010000"/>
          <w:sz w:val="20"/>
        </w:rPr>
        <w:t xml:space="preserve">Consolidated Report </w:t>
      </w:r>
      <w:r w:rsidRPr="003C6A08">
        <w:rPr>
          <w:rFonts w:ascii="Arial" w:hAnsi="Arial"/>
          <w:color w:val="010000"/>
          <w:sz w:val="20"/>
        </w:rPr>
        <w:t xml:space="preserve">of the subsidiary and the </w:t>
      </w:r>
      <w:r w:rsidR="0062071C" w:rsidRPr="003C6A08">
        <w:rPr>
          <w:rFonts w:ascii="Arial" w:hAnsi="Arial"/>
          <w:color w:val="010000"/>
          <w:sz w:val="20"/>
        </w:rPr>
        <w:t xml:space="preserve">Holding Company </w:t>
      </w:r>
      <w:r w:rsidRPr="003C6A08">
        <w:rPr>
          <w:rFonts w:ascii="Arial" w:hAnsi="Arial"/>
          <w:color w:val="010000"/>
          <w:sz w:val="20"/>
        </w:rPr>
        <w:t>as follows:</w:t>
      </w:r>
    </w:p>
    <w:p w14:paraId="521A9854" w14:textId="77777777" w:rsidR="002D6AE4" w:rsidRPr="003C6A08" w:rsidRDefault="00AC5C56" w:rsidP="00202535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>Total consolidated revenue: VND 152,600,000,000</w:t>
      </w:r>
    </w:p>
    <w:p w14:paraId="6152A941" w14:textId="77777777" w:rsidR="002D6AE4" w:rsidRPr="003C6A08" w:rsidRDefault="00AC5C56" w:rsidP="002025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>Transportation service: VND 4,000,000,000</w:t>
      </w:r>
    </w:p>
    <w:p w14:paraId="3B33FB2E" w14:textId="77777777" w:rsidR="002D6AE4" w:rsidRPr="003C6A08" w:rsidRDefault="00AC5C56" w:rsidP="002025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>Labor for hire: VND 133,600,000,000</w:t>
      </w:r>
    </w:p>
    <w:p w14:paraId="5437E203" w14:textId="77777777" w:rsidR="002D6AE4" w:rsidRPr="003C6A08" w:rsidRDefault="00AC5C56" w:rsidP="002025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>Commercial activities: VND 15,000,000,000</w:t>
      </w:r>
    </w:p>
    <w:p w14:paraId="7EE65FCF" w14:textId="77777777" w:rsidR="002D6AE4" w:rsidRPr="003C6A08" w:rsidRDefault="00AC5C56" w:rsidP="002025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>In which:</w:t>
      </w:r>
    </w:p>
    <w:p w14:paraId="66F6766B" w14:textId="4F2574B4" w:rsidR="002D6AE4" w:rsidRPr="003C6A08" w:rsidRDefault="00AC5C56" w:rsidP="002025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 xml:space="preserve">Revenue of </w:t>
      </w:r>
      <w:proofErr w:type="spellStart"/>
      <w:r w:rsidR="00FA1F9F" w:rsidRPr="003C6A08">
        <w:rPr>
          <w:rFonts w:ascii="Arial" w:hAnsi="Arial"/>
          <w:color w:val="010000"/>
          <w:sz w:val="20"/>
        </w:rPr>
        <w:t>Inlaco</w:t>
      </w:r>
      <w:proofErr w:type="spellEnd"/>
      <w:r w:rsidR="00FA1F9F" w:rsidRPr="003C6A08">
        <w:rPr>
          <w:rFonts w:ascii="Arial" w:hAnsi="Arial"/>
          <w:color w:val="010000"/>
          <w:sz w:val="20"/>
        </w:rPr>
        <w:t>-HP</w:t>
      </w:r>
      <w:r w:rsidRPr="003C6A08">
        <w:rPr>
          <w:rFonts w:ascii="Arial" w:hAnsi="Arial"/>
          <w:color w:val="010000"/>
          <w:sz w:val="20"/>
        </w:rPr>
        <w:t>: VND 33,000,000,000</w:t>
      </w:r>
    </w:p>
    <w:p w14:paraId="1829C835" w14:textId="750CF042" w:rsidR="002D6AE4" w:rsidRPr="003C6A08" w:rsidRDefault="00AC5C56" w:rsidP="002025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 xml:space="preserve">Revenue of </w:t>
      </w:r>
      <w:r w:rsidR="00FA1F9F" w:rsidRPr="003C6A08">
        <w:rPr>
          <w:rFonts w:ascii="Arial" w:hAnsi="Arial"/>
          <w:color w:val="010000"/>
          <w:sz w:val="20"/>
        </w:rPr>
        <w:t>IMSCO</w:t>
      </w:r>
      <w:r w:rsidRPr="003C6A08">
        <w:rPr>
          <w:rFonts w:ascii="Arial" w:hAnsi="Arial"/>
          <w:color w:val="010000"/>
          <w:sz w:val="20"/>
        </w:rPr>
        <w:t>: VND 106,000,000,000</w:t>
      </w:r>
    </w:p>
    <w:p w14:paraId="15F24ADC" w14:textId="3058CEBD" w:rsidR="002D6AE4" w:rsidRPr="003C6A08" w:rsidRDefault="00AC5C56" w:rsidP="002025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 xml:space="preserve">Revenue of </w:t>
      </w:r>
      <w:proofErr w:type="spellStart"/>
      <w:r w:rsidR="00FA1F9F" w:rsidRPr="003C6A08">
        <w:rPr>
          <w:rFonts w:ascii="Arial" w:hAnsi="Arial"/>
          <w:color w:val="010000"/>
          <w:sz w:val="20"/>
        </w:rPr>
        <w:t>Inlavesco</w:t>
      </w:r>
      <w:proofErr w:type="spellEnd"/>
      <w:r w:rsidRPr="003C6A08">
        <w:rPr>
          <w:rFonts w:ascii="Arial" w:hAnsi="Arial"/>
          <w:color w:val="010000"/>
          <w:sz w:val="20"/>
        </w:rPr>
        <w:t>:  VND 19,000,000,000</w:t>
      </w:r>
    </w:p>
    <w:p w14:paraId="0B2E96D8" w14:textId="77777777" w:rsidR="002D6AE4" w:rsidRPr="003C6A08" w:rsidRDefault="00AC5C56" w:rsidP="00202535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lastRenderedPageBreak/>
        <w:t>Total profit:</w:t>
      </w:r>
    </w:p>
    <w:p w14:paraId="155D836F" w14:textId="38F85F47" w:rsidR="002D6AE4" w:rsidRPr="003C6A08" w:rsidRDefault="00FA1F9F" w:rsidP="002025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>Plan on c</w:t>
      </w:r>
      <w:r w:rsidR="00AC5C56" w:rsidRPr="003C6A08">
        <w:rPr>
          <w:rFonts w:ascii="Arial" w:hAnsi="Arial"/>
          <w:color w:val="010000"/>
          <w:sz w:val="20"/>
        </w:rPr>
        <w:t>onsolidated profit before tax: VND 11,200,000,000. In which:</w:t>
      </w:r>
    </w:p>
    <w:p w14:paraId="3F87FE2F" w14:textId="0FE3EEF2" w:rsidR="002D6AE4" w:rsidRPr="003C6A08" w:rsidRDefault="00AC5C56" w:rsidP="002025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1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 xml:space="preserve">Profit plan of </w:t>
      </w:r>
      <w:proofErr w:type="spellStart"/>
      <w:r w:rsidR="00FA1F9F" w:rsidRPr="003C6A08">
        <w:rPr>
          <w:rFonts w:ascii="Arial" w:hAnsi="Arial"/>
          <w:color w:val="010000"/>
          <w:sz w:val="20"/>
        </w:rPr>
        <w:t>Inlaco</w:t>
      </w:r>
      <w:proofErr w:type="spellEnd"/>
      <w:r w:rsidR="00FA1F9F" w:rsidRPr="003C6A08">
        <w:rPr>
          <w:rFonts w:ascii="Arial" w:hAnsi="Arial"/>
          <w:color w:val="010000"/>
          <w:sz w:val="20"/>
        </w:rPr>
        <w:t>-HP</w:t>
      </w:r>
      <w:r w:rsidRPr="003C6A08">
        <w:rPr>
          <w:rFonts w:ascii="Arial" w:hAnsi="Arial"/>
          <w:color w:val="010000"/>
          <w:sz w:val="20"/>
        </w:rPr>
        <w:t xml:space="preserve">: VND 8,200,000,000 (Including VND 6,800,000,000 </w:t>
      </w:r>
      <w:r w:rsidR="00FA1F9F" w:rsidRPr="003C6A08">
        <w:rPr>
          <w:rFonts w:ascii="Arial" w:hAnsi="Arial"/>
          <w:color w:val="010000"/>
          <w:sz w:val="20"/>
        </w:rPr>
        <w:t>collected</w:t>
      </w:r>
      <w:r w:rsidRPr="003C6A08">
        <w:rPr>
          <w:rFonts w:ascii="Arial" w:hAnsi="Arial"/>
          <w:color w:val="010000"/>
          <w:sz w:val="20"/>
        </w:rPr>
        <w:t xml:space="preserve"> from State compensation due to the recovery of the </w:t>
      </w:r>
      <w:r w:rsidR="00FA1F9F" w:rsidRPr="003C6A08">
        <w:rPr>
          <w:rFonts w:ascii="Arial" w:hAnsi="Arial"/>
          <w:color w:val="010000"/>
          <w:sz w:val="20"/>
        </w:rPr>
        <w:t xml:space="preserve">Company’s </w:t>
      </w:r>
      <w:r w:rsidRPr="003C6A08">
        <w:rPr>
          <w:rFonts w:ascii="Arial" w:hAnsi="Arial"/>
          <w:color w:val="010000"/>
          <w:sz w:val="20"/>
        </w:rPr>
        <w:t xml:space="preserve">Headquarters at No. 4 Nguyen </w:t>
      </w:r>
      <w:proofErr w:type="spellStart"/>
      <w:r w:rsidRPr="003C6A08">
        <w:rPr>
          <w:rFonts w:ascii="Arial" w:hAnsi="Arial"/>
          <w:color w:val="010000"/>
          <w:sz w:val="20"/>
        </w:rPr>
        <w:t>Trai</w:t>
      </w:r>
      <w:proofErr w:type="spellEnd"/>
      <w:r w:rsidRPr="003C6A08">
        <w:rPr>
          <w:rFonts w:ascii="Arial" w:hAnsi="Arial"/>
          <w:color w:val="010000"/>
          <w:sz w:val="20"/>
        </w:rPr>
        <w:t xml:space="preserve">, May </w:t>
      </w:r>
      <w:proofErr w:type="gramStart"/>
      <w:r w:rsidRPr="003C6A08">
        <w:rPr>
          <w:rFonts w:ascii="Arial" w:hAnsi="Arial"/>
          <w:color w:val="010000"/>
          <w:sz w:val="20"/>
        </w:rPr>
        <w:t>To</w:t>
      </w:r>
      <w:proofErr w:type="gramEnd"/>
      <w:r w:rsidRPr="003C6A08">
        <w:rPr>
          <w:rFonts w:ascii="Arial" w:hAnsi="Arial"/>
          <w:color w:val="010000"/>
          <w:sz w:val="20"/>
        </w:rPr>
        <w:t xml:space="preserve"> Ward, Ngo </w:t>
      </w:r>
      <w:proofErr w:type="spellStart"/>
      <w:r w:rsidRPr="003C6A08">
        <w:rPr>
          <w:rFonts w:ascii="Arial" w:hAnsi="Arial"/>
          <w:color w:val="010000"/>
          <w:sz w:val="20"/>
        </w:rPr>
        <w:t>Quyen</w:t>
      </w:r>
      <w:proofErr w:type="spellEnd"/>
      <w:r w:rsidRPr="003C6A08">
        <w:rPr>
          <w:rFonts w:ascii="Arial" w:hAnsi="Arial"/>
          <w:color w:val="010000"/>
          <w:sz w:val="20"/>
        </w:rPr>
        <w:t xml:space="preserve"> District, Hai Phong City to serve the Investment project to build Nguyen </w:t>
      </w:r>
      <w:proofErr w:type="spellStart"/>
      <w:r w:rsidRPr="003C6A08">
        <w:rPr>
          <w:rFonts w:ascii="Arial" w:hAnsi="Arial"/>
          <w:color w:val="010000"/>
          <w:sz w:val="20"/>
        </w:rPr>
        <w:t>Trai</w:t>
      </w:r>
      <w:proofErr w:type="spellEnd"/>
      <w:r w:rsidRPr="003C6A08">
        <w:rPr>
          <w:rFonts w:ascii="Arial" w:hAnsi="Arial"/>
          <w:color w:val="010000"/>
          <w:sz w:val="20"/>
        </w:rPr>
        <w:t xml:space="preserve"> bridge and </w:t>
      </w:r>
      <w:r w:rsidR="00FA1F9F" w:rsidRPr="003C6A08">
        <w:rPr>
          <w:rFonts w:ascii="Arial" w:hAnsi="Arial"/>
          <w:color w:val="010000"/>
          <w:sz w:val="20"/>
        </w:rPr>
        <w:t xml:space="preserve">beautify the surrounding urban areas </w:t>
      </w:r>
      <w:r w:rsidRPr="003C6A08">
        <w:rPr>
          <w:rFonts w:ascii="Arial" w:hAnsi="Arial"/>
          <w:color w:val="010000"/>
          <w:sz w:val="20"/>
        </w:rPr>
        <w:t>of May To Ward)</w:t>
      </w:r>
    </w:p>
    <w:p w14:paraId="5F2F2824" w14:textId="77777777" w:rsidR="002D6AE4" w:rsidRPr="003C6A08" w:rsidRDefault="00AC5C56" w:rsidP="002025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1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>Profit plan of INLACO Joint Stock Company and Human Resources Supply: VND 2,500,000,000</w:t>
      </w:r>
    </w:p>
    <w:p w14:paraId="2F23C977" w14:textId="77777777" w:rsidR="002D6AE4" w:rsidRPr="003C6A08" w:rsidRDefault="00AC5C56" w:rsidP="002025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1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 xml:space="preserve">Profit plan of </w:t>
      </w:r>
      <w:proofErr w:type="spellStart"/>
      <w:r w:rsidRPr="003C6A08">
        <w:rPr>
          <w:rFonts w:ascii="Arial" w:hAnsi="Arial"/>
          <w:color w:val="010000"/>
          <w:sz w:val="20"/>
        </w:rPr>
        <w:t>Inlaco</w:t>
      </w:r>
      <w:proofErr w:type="spellEnd"/>
      <w:r w:rsidRPr="003C6A08">
        <w:rPr>
          <w:rFonts w:ascii="Arial" w:hAnsi="Arial"/>
          <w:color w:val="010000"/>
          <w:sz w:val="20"/>
        </w:rPr>
        <w:t xml:space="preserve"> Investment and services Joint Stock Company: VND 600,000,000</w:t>
      </w:r>
    </w:p>
    <w:p w14:paraId="0AF4B2A6" w14:textId="77777777" w:rsidR="002D6AE4" w:rsidRPr="003C6A08" w:rsidRDefault="00AC5C56" w:rsidP="00202535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>Salary unit price:</w:t>
      </w:r>
    </w:p>
    <w:p w14:paraId="68764AAA" w14:textId="1443DB1B" w:rsidR="002D6AE4" w:rsidRPr="003C6A08" w:rsidRDefault="00AC5C56" w:rsidP="0020253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 xml:space="preserve">5.5% of total revenue according to the </w:t>
      </w:r>
      <w:r w:rsidR="00FA1F9F" w:rsidRPr="003C6A08">
        <w:rPr>
          <w:rFonts w:ascii="Arial" w:hAnsi="Arial"/>
          <w:color w:val="010000"/>
          <w:sz w:val="20"/>
        </w:rPr>
        <w:t>Consolidated Report</w:t>
      </w:r>
      <w:r w:rsidRPr="003C6A08">
        <w:rPr>
          <w:rFonts w:ascii="Arial" w:hAnsi="Arial"/>
          <w:color w:val="010000"/>
          <w:sz w:val="20"/>
        </w:rPr>
        <w:t>, in which:</w:t>
      </w:r>
    </w:p>
    <w:p w14:paraId="1D1B5D16" w14:textId="6AD4F44D" w:rsidR="002D6AE4" w:rsidRPr="003C6A08" w:rsidRDefault="00AC5C56" w:rsidP="002025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1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 xml:space="preserve">4.85% of total revenue (according to the </w:t>
      </w:r>
      <w:r w:rsidR="00FA1F9F" w:rsidRPr="003C6A08">
        <w:rPr>
          <w:rFonts w:ascii="Arial" w:hAnsi="Arial"/>
          <w:color w:val="010000"/>
          <w:sz w:val="20"/>
        </w:rPr>
        <w:t>Consolidated Report</w:t>
      </w:r>
      <w:r w:rsidRPr="003C6A08">
        <w:rPr>
          <w:rFonts w:ascii="Arial" w:hAnsi="Arial"/>
          <w:color w:val="010000"/>
          <w:sz w:val="20"/>
        </w:rPr>
        <w:t xml:space="preserve">) for the management department and year-end salary bonus fund for </w:t>
      </w:r>
      <w:r w:rsidR="00FA1F9F" w:rsidRPr="003C6A08">
        <w:rPr>
          <w:rFonts w:ascii="Arial" w:hAnsi="Arial"/>
          <w:color w:val="010000"/>
          <w:sz w:val="20"/>
        </w:rPr>
        <w:t xml:space="preserve">all </w:t>
      </w:r>
      <w:r w:rsidRPr="003C6A08">
        <w:rPr>
          <w:rFonts w:ascii="Arial" w:hAnsi="Arial"/>
          <w:color w:val="010000"/>
          <w:sz w:val="20"/>
        </w:rPr>
        <w:t xml:space="preserve">employees (excluding hired crew </w:t>
      </w:r>
      <w:r w:rsidR="00202535">
        <w:rPr>
          <w:rFonts w:ascii="Arial" w:hAnsi="Arial"/>
          <w:color w:val="010000"/>
          <w:sz w:val="20"/>
        </w:rPr>
        <w:t>wage</w:t>
      </w:r>
      <w:r w:rsidRPr="003C6A08">
        <w:rPr>
          <w:rFonts w:ascii="Arial" w:hAnsi="Arial"/>
          <w:color w:val="010000"/>
          <w:sz w:val="20"/>
        </w:rPr>
        <w:t>)</w:t>
      </w:r>
    </w:p>
    <w:p w14:paraId="3DCEDC19" w14:textId="68B64936" w:rsidR="002D6AE4" w:rsidRPr="003C6A08" w:rsidRDefault="00AC5C56" w:rsidP="002025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1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 xml:space="preserve">0.65% of total revenue (according to the </w:t>
      </w:r>
      <w:r w:rsidR="00FA1F9F" w:rsidRPr="003C6A08">
        <w:rPr>
          <w:rFonts w:ascii="Arial" w:hAnsi="Arial"/>
          <w:color w:val="010000"/>
          <w:sz w:val="20"/>
        </w:rPr>
        <w:t>Consolidated Report</w:t>
      </w:r>
      <w:r w:rsidRPr="003C6A08">
        <w:rPr>
          <w:rFonts w:ascii="Arial" w:hAnsi="Arial"/>
          <w:color w:val="010000"/>
          <w:sz w:val="20"/>
        </w:rPr>
        <w:t>) to pay remuneration fo</w:t>
      </w:r>
      <w:r w:rsidR="00202535">
        <w:rPr>
          <w:rFonts w:ascii="Arial" w:hAnsi="Arial"/>
          <w:color w:val="010000"/>
          <w:sz w:val="20"/>
        </w:rPr>
        <w:t>r the Board of Directors and</w:t>
      </w:r>
      <w:r w:rsidRPr="003C6A08">
        <w:rPr>
          <w:rFonts w:ascii="Arial" w:hAnsi="Arial"/>
          <w:color w:val="010000"/>
          <w:sz w:val="20"/>
        </w:rPr>
        <w:t xml:space="preserve"> Supervisory Board.</w:t>
      </w:r>
    </w:p>
    <w:p w14:paraId="43DE9362" w14:textId="77777777" w:rsidR="002D6AE4" w:rsidRPr="003C6A08" w:rsidRDefault="00AC5C56" w:rsidP="002025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>Article 4:</w:t>
      </w:r>
    </w:p>
    <w:p w14:paraId="4CC8EA72" w14:textId="79D3B04A" w:rsidR="002D6AE4" w:rsidRPr="003C6A08" w:rsidRDefault="00AC5C56" w:rsidP="002025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 xml:space="preserve">Approve the Proposal of the Board of Directors on approving the Audited Financial Statements 2023; </w:t>
      </w:r>
    </w:p>
    <w:p w14:paraId="52D6FB11" w14:textId="77777777" w:rsidR="002D6AE4" w:rsidRPr="003C6A08" w:rsidRDefault="00AC5C56" w:rsidP="002025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>Article 5:</w:t>
      </w:r>
    </w:p>
    <w:p w14:paraId="1C6AAB59" w14:textId="10DB75A4" w:rsidR="002D6AE4" w:rsidRPr="003C6A08" w:rsidRDefault="00AC5C56" w:rsidP="002025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 xml:space="preserve">Approve the Proposal of the Supervisory Board on the selection of International Auditing Company Limited to review/audit the Separate and Consolidated Financial Statements </w:t>
      </w:r>
      <w:r w:rsidR="00FA1F9F" w:rsidRPr="003C6A08">
        <w:rPr>
          <w:rFonts w:ascii="Arial" w:hAnsi="Arial"/>
          <w:color w:val="010000"/>
          <w:sz w:val="20"/>
        </w:rPr>
        <w:t>for</w:t>
      </w:r>
      <w:r w:rsidRPr="003C6A08">
        <w:rPr>
          <w:rFonts w:ascii="Arial" w:hAnsi="Arial"/>
          <w:color w:val="010000"/>
          <w:sz w:val="20"/>
        </w:rPr>
        <w:t xml:space="preserve"> the fiscal year 2024 of the Company. </w:t>
      </w:r>
    </w:p>
    <w:p w14:paraId="433C2596" w14:textId="77777777" w:rsidR="002D6AE4" w:rsidRPr="003C6A08" w:rsidRDefault="00AC5C56" w:rsidP="002025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>Article 6:</w:t>
      </w:r>
    </w:p>
    <w:p w14:paraId="757AC46E" w14:textId="06AD18C0" w:rsidR="002D6AE4" w:rsidRPr="003C6A08" w:rsidRDefault="00AC5C56" w:rsidP="002025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 xml:space="preserve">The terms of enforcement of this General Mandate </w:t>
      </w:r>
      <w:r w:rsidR="00FA1F9F" w:rsidRPr="003C6A08">
        <w:rPr>
          <w:rFonts w:ascii="Arial" w:hAnsi="Arial"/>
          <w:color w:val="010000"/>
          <w:sz w:val="20"/>
        </w:rPr>
        <w:t>are</w:t>
      </w:r>
      <w:r w:rsidRPr="003C6A08">
        <w:rPr>
          <w:rFonts w:ascii="Arial" w:hAnsi="Arial"/>
          <w:color w:val="010000"/>
          <w:sz w:val="20"/>
        </w:rPr>
        <w:t xml:space="preserve"> approved by the Annual General Meeting 2024 and take effect from the date of its signing.</w:t>
      </w:r>
    </w:p>
    <w:p w14:paraId="01CEA11B" w14:textId="38ED7455" w:rsidR="002D6AE4" w:rsidRPr="003C6A08" w:rsidRDefault="00AC5C56" w:rsidP="002025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C6A08">
        <w:rPr>
          <w:rFonts w:ascii="Arial" w:hAnsi="Arial"/>
          <w:color w:val="010000"/>
          <w:sz w:val="20"/>
        </w:rPr>
        <w:t>Members</w:t>
      </w:r>
      <w:r w:rsidR="00202535">
        <w:rPr>
          <w:rFonts w:ascii="Arial" w:hAnsi="Arial"/>
          <w:color w:val="010000"/>
          <w:sz w:val="20"/>
        </w:rPr>
        <w:t xml:space="preserve"> of the Board of Directors, </w:t>
      </w:r>
      <w:r w:rsidRPr="003C6A08">
        <w:rPr>
          <w:rFonts w:ascii="Arial" w:hAnsi="Arial"/>
          <w:color w:val="010000"/>
          <w:sz w:val="20"/>
        </w:rPr>
        <w:t xml:space="preserve">Supervisory Board, </w:t>
      </w:r>
      <w:r w:rsidR="00202535">
        <w:rPr>
          <w:rFonts w:ascii="Arial" w:hAnsi="Arial"/>
          <w:color w:val="010000"/>
          <w:sz w:val="20"/>
        </w:rPr>
        <w:t>and</w:t>
      </w:r>
      <w:r w:rsidRPr="003C6A08">
        <w:rPr>
          <w:rFonts w:ascii="Arial" w:hAnsi="Arial"/>
          <w:color w:val="010000"/>
          <w:sz w:val="20"/>
        </w:rPr>
        <w:t xml:space="preserve"> Executive Board shall be responsible for implementing this General Mandate and organizing the implementation under their authorities </w:t>
      </w:r>
      <w:r w:rsidR="00202535">
        <w:rPr>
          <w:rFonts w:ascii="Arial" w:hAnsi="Arial"/>
          <w:color w:val="010000"/>
          <w:sz w:val="20"/>
        </w:rPr>
        <w:t xml:space="preserve">under applicable laws </w:t>
      </w:r>
      <w:bookmarkStart w:id="0" w:name="_GoBack"/>
      <w:bookmarkEnd w:id="0"/>
      <w:r w:rsidRPr="003C6A08">
        <w:rPr>
          <w:rFonts w:ascii="Arial" w:hAnsi="Arial"/>
          <w:color w:val="010000"/>
          <w:sz w:val="20"/>
        </w:rPr>
        <w:t>and the Charter of International Labor and Services JSC.</w:t>
      </w:r>
    </w:p>
    <w:sectPr w:rsidR="002D6AE4" w:rsidRPr="003C6A08" w:rsidSect="00AC5C56">
      <w:pgSz w:w="11906" w:h="16834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6D7"/>
    <w:multiLevelType w:val="multilevel"/>
    <w:tmpl w:val="767AB222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BD90FDA"/>
    <w:multiLevelType w:val="multilevel"/>
    <w:tmpl w:val="7D98B9C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14F60FD"/>
    <w:multiLevelType w:val="multilevel"/>
    <w:tmpl w:val="0EBED5A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1466A4"/>
    <w:multiLevelType w:val="multilevel"/>
    <w:tmpl w:val="F432B31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7F10784"/>
    <w:multiLevelType w:val="multilevel"/>
    <w:tmpl w:val="03B6A5C6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decimalZero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E4"/>
    <w:rsid w:val="00202535"/>
    <w:rsid w:val="002D6AE4"/>
    <w:rsid w:val="003C6A08"/>
    <w:rsid w:val="0062071C"/>
    <w:rsid w:val="00A764B2"/>
    <w:rsid w:val="00AC5C56"/>
    <w:rsid w:val="00FA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76E86"/>
  <w15:docId w15:val="{5380213E-0BFD-4B06-B068-1DB07EFB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D4889"/>
      <w:sz w:val="36"/>
      <w:szCs w:val="3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8"/>
      <w:szCs w:val="28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30">
    <w:name w:val="Heading #3_"/>
    <w:basedOn w:val="DefaultParagraphFont"/>
    <w:link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4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rPr>
      <w:rFonts w:ascii="Trebuchet MS" w:eastAsia="Trebuchet MS" w:hAnsi="Trebuchet MS" w:cs="Trebuchet MS"/>
      <w:b/>
      <w:bCs/>
      <w:color w:val="0D4889"/>
      <w:sz w:val="36"/>
      <w:szCs w:val="36"/>
    </w:rPr>
  </w:style>
  <w:style w:type="paragraph" w:customStyle="1" w:styleId="Bodytext20">
    <w:name w:val="Body text (2)"/>
    <w:basedOn w:val="Normal"/>
    <w:link w:val="Bodytext2"/>
    <w:pPr>
      <w:spacing w:line="18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Heading11">
    <w:name w:val="Heading #1"/>
    <w:basedOn w:val="Normal"/>
    <w:link w:val="Heading10"/>
    <w:pPr>
      <w:spacing w:line="211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1">
    <w:name w:val="Heading #2"/>
    <w:basedOn w:val="Normal"/>
    <w:link w:val="Heading20"/>
    <w:pPr>
      <w:spacing w:line="197" w:lineRule="auto"/>
      <w:jc w:val="center"/>
      <w:outlineLvl w:val="1"/>
    </w:pPr>
    <w:rPr>
      <w:rFonts w:ascii="Times New Roman" w:eastAsia="Times New Roman" w:hAnsi="Times New Roman" w:cs="Times New Roman"/>
      <w:smallCaps/>
      <w:sz w:val="28"/>
      <w:szCs w:val="28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Other0">
    <w:name w:val="Other"/>
    <w:basedOn w:val="Normal"/>
    <w:link w:val="Other"/>
    <w:pPr>
      <w:spacing w:line="24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31">
    <w:name w:val="Heading #3"/>
    <w:basedOn w:val="Normal"/>
    <w:link w:val="Heading30"/>
    <w:pPr>
      <w:spacing w:line="257" w:lineRule="auto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z8tnLOYRnHkFsI3MQdLSIFLcMw==">CgMxLjA4AHIhMXpiRE5zVDZhZkZUSXYtLUc0c0lDZVhFWWkycl9HMmtN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2024-05-23T03:11:00Z</dcterms:created>
  <dcterms:modified xsi:type="dcterms:W3CDTF">2024-05-23T03:11:00Z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1ca1181fd9b43ae3e812fabb83a75b24521c4a9c3e9155bd33519ef95157f90c</vt:lpwstr>
  </property>
</Properties>
</file>