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203A" w:rsidRPr="000002A1" w:rsidRDefault="00A42719" w:rsidP="00FA1CB4">
      <w:pPr>
        <w:widowControl/>
        <w:pBdr>
          <w:top w:val="nil"/>
          <w:left w:val="nil"/>
          <w:bottom w:val="nil"/>
          <w:right w:val="nil"/>
          <w:between w:val="nil"/>
        </w:pBdr>
        <w:tabs>
          <w:tab w:val="left" w:pos="810"/>
        </w:tabs>
        <w:spacing w:after="120" w:line="360" w:lineRule="auto"/>
        <w:rPr>
          <w:rFonts w:ascii="Arial" w:eastAsia="Arial" w:hAnsi="Arial" w:cs="Arial"/>
          <w:b/>
          <w:color w:val="010000"/>
          <w:sz w:val="20"/>
          <w:szCs w:val="20"/>
        </w:rPr>
      </w:pPr>
      <w:r w:rsidRPr="000002A1">
        <w:rPr>
          <w:rFonts w:ascii="Arial" w:hAnsi="Arial" w:cs="Arial"/>
          <w:b/>
          <w:color w:val="010000"/>
          <w:sz w:val="20"/>
        </w:rPr>
        <w:t>DRG: Board Resolution</w:t>
      </w:r>
    </w:p>
    <w:p w14:paraId="00000002" w14:textId="77777777" w:rsidR="000D203A" w:rsidRPr="000002A1" w:rsidRDefault="00A42719" w:rsidP="00FA1CB4">
      <w:pPr>
        <w:widowControl/>
        <w:pBdr>
          <w:top w:val="nil"/>
          <w:left w:val="nil"/>
          <w:bottom w:val="nil"/>
          <w:right w:val="nil"/>
          <w:between w:val="nil"/>
        </w:pBdr>
        <w:tabs>
          <w:tab w:val="left" w:pos="810"/>
        </w:tabs>
        <w:spacing w:after="120" w:line="360" w:lineRule="auto"/>
        <w:rPr>
          <w:rFonts w:ascii="Arial" w:eastAsia="Arial" w:hAnsi="Arial" w:cs="Arial"/>
          <w:color w:val="010000"/>
          <w:sz w:val="20"/>
          <w:szCs w:val="20"/>
        </w:rPr>
      </w:pPr>
      <w:r w:rsidRPr="000002A1">
        <w:rPr>
          <w:rFonts w:ascii="Arial" w:hAnsi="Arial" w:cs="Arial"/>
          <w:color w:val="010000"/>
          <w:sz w:val="20"/>
        </w:rPr>
        <w:t>On May 22, 2024, DakLak Rubber Joint Stock Company announced Resolution No. 08/NQ-HDQT as follows:</w:t>
      </w:r>
    </w:p>
    <w:p w14:paraId="00000003" w14:textId="1EFBDEB5" w:rsidR="000D203A" w:rsidRPr="000002A1" w:rsidRDefault="00A42719" w:rsidP="00FA1CB4">
      <w:pPr>
        <w:pBdr>
          <w:top w:val="nil"/>
          <w:left w:val="nil"/>
          <w:bottom w:val="nil"/>
          <w:right w:val="nil"/>
          <w:between w:val="nil"/>
        </w:pBdr>
        <w:tabs>
          <w:tab w:val="left" w:pos="810"/>
        </w:tabs>
        <w:spacing w:after="120" w:line="360" w:lineRule="auto"/>
        <w:rPr>
          <w:rFonts w:ascii="Arial" w:eastAsia="Arial" w:hAnsi="Arial" w:cs="Arial"/>
          <w:color w:val="010000"/>
          <w:sz w:val="20"/>
          <w:szCs w:val="20"/>
        </w:rPr>
      </w:pPr>
      <w:r w:rsidRPr="000002A1">
        <w:rPr>
          <w:rFonts w:ascii="Arial" w:hAnsi="Arial" w:cs="Arial"/>
          <w:color w:val="010000"/>
          <w:sz w:val="20"/>
        </w:rPr>
        <w:t xml:space="preserve">Article 1: Agree on the </w:t>
      </w:r>
      <w:r w:rsidR="004816FB" w:rsidRPr="000002A1">
        <w:rPr>
          <w:rFonts w:ascii="Arial" w:hAnsi="Arial" w:cs="Arial"/>
          <w:color w:val="010000"/>
          <w:sz w:val="20"/>
        </w:rPr>
        <w:t>personnel</w:t>
      </w:r>
      <w:r w:rsidRPr="000002A1">
        <w:rPr>
          <w:rFonts w:ascii="Arial" w:hAnsi="Arial" w:cs="Arial"/>
          <w:color w:val="010000"/>
          <w:sz w:val="20"/>
        </w:rPr>
        <w:t xml:space="preserve"> organization of Dakruco's Leaders:</w:t>
      </w:r>
    </w:p>
    <w:p w14:paraId="00000004" w14:textId="77777777" w:rsidR="000D203A" w:rsidRPr="000002A1" w:rsidRDefault="00A42719" w:rsidP="00FA1CB4">
      <w:pPr>
        <w:numPr>
          <w:ilvl w:val="0"/>
          <w:numId w:val="4"/>
        </w:numPr>
        <w:pBdr>
          <w:top w:val="nil"/>
          <w:left w:val="nil"/>
          <w:bottom w:val="nil"/>
          <w:right w:val="nil"/>
          <w:between w:val="nil"/>
        </w:pBdr>
        <w:tabs>
          <w:tab w:val="left" w:pos="810"/>
          <w:tab w:val="left" w:pos="1316"/>
        </w:tabs>
        <w:spacing w:after="120" w:line="360" w:lineRule="auto"/>
        <w:rPr>
          <w:rFonts w:ascii="Arial" w:eastAsia="Arial" w:hAnsi="Arial" w:cs="Arial"/>
          <w:color w:val="010000"/>
          <w:sz w:val="20"/>
          <w:szCs w:val="20"/>
        </w:rPr>
      </w:pPr>
      <w:r w:rsidRPr="000002A1">
        <w:rPr>
          <w:rFonts w:ascii="Arial" w:hAnsi="Arial" w:cs="Arial"/>
          <w:color w:val="010000"/>
          <w:sz w:val="20"/>
        </w:rPr>
        <w:t>Mr. Bui Quang Ninh will no longer be the representative of Dakruco's capital at Thai Duong Rubber Joint Stock Company and Rubber Processing Joint Stock Company (Dakruwood).</w:t>
      </w:r>
    </w:p>
    <w:p w14:paraId="00000005" w14:textId="5730B8D3" w:rsidR="000D203A" w:rsidRPr="000002A1" w:rsidRDefault="00A42719" w:rsidP="00FA1CB4">
      <w:pPr>
        <w:numPr>
          <w:ilvl w:val="0"/>
          <w:numId w:val="4"/>
        </w:numPr>
        <w:pBdr>
          <w:top w:val="nil"/>
          <w:left w:val="nil"/>
          <w:bottom w:val="nil"/>
          <w:right w:val="nil"/>
          <w:between w:val="nil"/>
        </w:pBdr>
        <w:tabs>
          <w:tab w:val="left" w:pos="810"/>
          <w:tab w:val="left" w:pos="1327"/>
        </w:tabs>
        <w:spacing w:after="120" w:line="360" w:lineRule="auto"/>
        <w:rPr>
          <w:rFonts w:ascii="Arial" w:eastAsia="Arial" w:hAnsi="Arial" w:cs="Arial"/>
          <w:color w:val="010000"/>
          <w:sz w:val="20"/>
          <w:szCs w:val="20"/>
        </w:rPr>
      </w:pPr>
      <w:r w:rsidRPr="000002A1">
        <w:rPr>
          <w:rFonts w:ascii="Arial" w:hAnsi="Arial" w:cs="Arial"/>
          <w:color w:val="010000"/>
          <w:sz w:val="20"/>
        </w:rPr>
        <w:t>Mr. Bui Quang Ninh will no longer participate as a member o</w:t>
      </w:r>
      <w:r w:rsidR="004816FB" w:rsidRPr="000002A1">
        <w:rPr>
          <w:rFonts w:ascii="Arial" w:hAnsi="Arial" w:cs="Arial"/>
          <w:color w:val="010000"/>
          <w:sz w:val="20"/>
        </w:rPr>
        <w:t xml:space="preserve">f the Board of Directors of Dak </w:t>
      </w:r>
      <w:r w:rsidRPr="000002A1">
        <w:rPr>
          <w:rFonts w:ascii="Arial" w:hAnsi="Arial" w:cs="Arial"/>
          <w:color w:val="010000"/>
          <w:sz w:val="20"/>
        </w:rPr>
        <w:t>Lak Rubber Investment Joint Stock Company (DRI), Thai Duong Rubber Joint Stock Company, and Rubber Processing Joint Stock Company (Dakruwood).</w:t>
      </w:r>
    </w:p>
    <w:p w14:paraId="00000006" w14:textId="77777777" w:rsidR="000D203A" w:rsidRPr="000002A1" w:rsidRDefault="00A42719" w:rsidP="00FA1CB4">
      <w:pPr>
        <w:numPr>
          <w:ilvl w:val="0"/>
          <w:numId w:val="4"/>
        </w:numPr>
        <w:pBdr>
          <w:top w:val="nil"/>
          <w:left w:val="nil"/>
          <w:bottom w:val="nil"/>
          <w:right w:val="nil"/>
          <w:between w:val="nil"/>
        </w:pBdr>
        <w:tabs>
          <w:tab w:val="left" w:pos="810"/>
          <w:tab w:val="left" w:pos="1331"/>
        </w:tabs>
        <w:spacing w:after="120" w:line="360" w:lineRule="auto"/>
        <w:rPr>
          <w:rFonts w:ascii="Arial" w:eastAsia="Arial" w:hAnsi="Arial" w:cs="Arial"/>
          <w:color w:val="010000"/>
          <w:sz w:val="20"/>
          <w:szCs w:val="20"/>
        </w:rPr>
      </w:pPr>
      <w:r w:rsidRPr="000002A1">
        <w:rPr>
          <w:rFonts w:ascii="Arial" w:hAnsi="Arial" w:cs="Arial"/>
          <w:color w:val="010000"/>
          <w:sz w:val="20"/>
        </w:rPr>
        <w:t>Appoint personnel to represent capital and participate in the Board of Directors at the joint stock companies instead of Mr. Bui Quang Ninh, as follows:</w:t>
      </w:r>
    </w:p>
    <w:p w14:paraId="00000007" w14:textId="77777777" w:rsidR="000D203A" w:rsidRPr="000002A1" w:rsidRDefault="00A42719" w:rsidP="00FA1CB4">
      <w:pPr>
        <w:numPr>
          <w:ilvl w:val="0"/>
          <w:numId w:val="3"/>
        </w:numPr>
        <w:pBdr>
          <w:top w:val="nil"/>
          <w:left w:val="nil"/>
          <w:bottom w:val="nil"/>
          <w:right w:val="nil"/>
          <w:between w:val="nil"/>
        </w:pBdr>
        <w:tabs>
          <w:tab w:val="left" w:pos="810"/>
          <w:tab w:val="left" w:pos="1223"/>
        </w:tabs>
        <w:spacing w:after="120" w:line="360" w:lineRule="auto"/>
        <w:rPr>
          <w:rFonts w:ascii="Arial" w:eastAsia="Arial" w:hAnsi="Arial" w:cs="Arial"/>
          <w:color w:val="010000"/>
          <w:sz w:val="20"/>
          <w:szCs w:val="20"/>
        </w:rPr>
      </w:pPr>
      <w:r w:rsidRPr="000002A1">
        <w:rPr>
          <w:rFonts w:ascii="Arial" w:hAnsi="Arial" w:cs="Arial"/>
          <w:color w:val="010000"/>
          <w:sz w:val="20"/>
        </w:rPr>
        <w:t>Mr. Nguyen Viet Tuong - Chair of the Company’s Board of Directors will be the Representative of Dakruco's capital and nominated to participate in the Board of Directors of Thai Duong Rubber Joint Stock Company.</w:t>
      </w:r>
    </w:p>
    <w:p w14:paraId="00000008" w14:textId="77777777" w:rsidR="000D203A" w:rsidRPr="000002A1" w:rsidRDefault="00A42719" w:rsidP="00FA1CB4">
      <w:pPr>
        <w:numPr>
          <w:ilvl w:val="0"/>
          <w:numId w:val="3"/>
        </w:numPr>
        <w:pBdr>
          <w:top w:val="nil"/>
          <w:left w:val="nil"/>
          <w:bottom w:val="nil"/>
          <w:right w:val="nil"/>
          <w:between w:val="nil"/>
        </w:pBdr>
        <w:tabs>
          <w:tab w:val="left" w:pos="810"/>
          <w:tab w:val="left" w:pos="1212"/>
        </w:tabs>
        <w:spacing w:after="120" w:line="360" w:lineRule="auto"/>
        <w:rPr>
          <w:rFonts w:ascii="Arial" w:eastAsia="Arial" w:hAnsi="Arial" w:cs="Arial"/>
          <w:color w:val="010000"/>
          <w:sz w:val="20"/>
          <w:szCs w:val="20"/>
        </w:rPr>
      </w:pPr>
      <w:r w:rsidRPr="000002A1">
        <w:rPr>
          <w:rFonts w:ascii="Arial" w:hAnsi="Arial" w:cs="Arial"/>
          <w:color w:val="010000"/>
          <w:sz w:val="20"/>
        </w:rPr>
        <w:t>Mr. Nguyen Do - Deputy General Manager of the Company will be the Representative of Dakruco's capital and nominated to participate in the Board of Directors (with the orientation of becoming the Chair of the Board of Directors) of Rubber Processing Joint Stock Company (Dakruwood).</w:t>
      </w:r>
    </w:p>
    <w:p w14:paraId="00000009" w14:textId="6EDF7016" w:rsidR="000D203A" w:rsidRPr="000002A1" w:rsidRDefault="00A42719" w:rsidP="00FA1CB4">
      <w:pPr>
        <w:numPr>
          <w:ilvl w:val="0"/>
          <w:numId w:val="4"/>
        </w:numPr>
        <w:pBdr>
          <w:top w:val="nil"/>
          <w:left w:val="nil"/>
          <w:bottom w:val="nil"/>
          <w:right w:val="nil"/>
          <w:between w:val="nil"/>
        </w:pBdr>
        <w:tabs>
          <w:tab w:val="left" w:pos="810"/>
          <w:tab w:val="left" w:pos="1344"/>
        </w:tabs>
        <w:spacing w:after="120" w:line="360" w:lineRule="auto"/>
        <w:rPr>
          <w:rFonts w:ascii="Arial" w:eastAsia="Arial" w:hAnsi="Arial" w:cs="Arial"/>
          <w:color w:val="010000"/>
          <w:sz w:val="20"/>
          <w:szCs w:val="20"/>
        </w:rPr>
      </w:pPr>
      <w:r w:rsidRPr="000002A1">
        <w:rPr>
          <w:rFonts w:ascii="Arial" w:hAnsi="Arial" w:cs="Arial"/>
          <w:color w:val="010000"/>
          <w:sz w:val="20"/>
        </w:rPr>
        <w:t>Assign the Executive Board to promptly</w:t>
      </w:r>
      <w:r w:rsidR="004816FB" w:rsidRPr="000002A1">
        <w:rPr>
          <w:rFonts w:ascii="Arial" w:hAnsi="Arial" w:cs="Arial"/>
          <w:color w:val="010000"/>
          <w:sz w:val="20"/>
        </w:rPr>
        <w:t xml:space="preserve"> have implementation documents</w:t>
      </w:r>
      <w:r w:rsidRPr="000002A1">
        <w:rPr>
          <w:rFonts w:ascii="Arial" w:hAnsi="Arial" w:cs="Arial"/>
          <w:color w:val="010000"/>
          <w:sz w:val="20"/>
        </w:rPr>
        <w:t>.</w:t>
      </w:r>
    </w:p>
    <w:p w14:paraId="0000000A" w14:textId="77777777" w:rsidR="000D203A" w:rsidRPr="000002A1" w:rsidRDefault="00A42719" w:rsidP="00FA1CB4">
      <w:pPr>
        <w:pBdr>
          <w:top w:val="nil"/>
          <w:left w:val="nil"/>
          <w:bottom w:val="nil"/>
          <w:right w:val="nil"/>
          <w:between w:val="nil"/>
        </w:pBdr>
        <w:tabs>
          <w:tab w:val="left" w:pos="810"/>
        </w:tabs>
        <w:spacing w:after="120" w:line="360" w:lineRule="auto"/>
        <w:rPr>
          <w:rFonts w:ascii="Arial" w:eastAsia="Arial" w:hAnsi="Arial" w:cs="Arial"/>
          <w:color w:val="010000"/>
          <w:sz w:val="20"/>
          <w:szCs w:val="20"/>
        </w:rPr>
      </w:pPr>
      <w:r w:rsidRPr="000002A1">
        <w:rPr>
          <w:rFonts w:ascii="Arial" w:hAnsi="Arial" w:cs="Arial"/>
          <w:color w:val="010000"/>
          <w:sz w:val="20"/>
        </w:rPr>
        <w:t>Article 2: Regarding Dakruco's capital divestment at Dak Lak Rubber Investment Joint Stock Company</w:t>
      </w:r>
    </w:p>
    <w:p w14:paraId="0000000B" w14:textId="23F32164" w:rsidR="000D203A" w:rsidRPr="000002A1" w:rsidRDefault="004816FB" w:rsidP="00FA1CB4">
      <w:pPr>
        <w:numPr>
          <w:ilvl w:val="0"/>
          <w:numId w:val="5"/>
        </w:numPr>
        <w:pBdr>
          <w:top w:val="nil"/>
          <w:left w:val="nil"/>
          <w:bottom w:val="nil"/>
          <w:right w:val="nil"/>
          <w:between w:val="nil"/>
        </w:pBdr>
        <w:tabs>
          <w:tab w:val="left" w:pos="810"/>
          <w:tab w:val="left" w:pos="1304"/>
        </w:tabs>
        <w:spacing w:after="120" w:line="360" w:lineRule="auto"/>
        <w:rPr>
          <w:rFonts w:ascii="Arial" w:eastAsia="Arial" w:hAnsi="Arial" w:cs="Arial"/>
          <w:color w:val="010000"/>
          <w:sz w:val="20"/>
          <w:szCs w:val="20"/>
        </w:rPr>
      </w:pPr>
      <w:r w:rsidRPr="000002A1">
        <w:rPr>
          <w:rFonts w:ascii="Arial" w:hAnsi="Arial" w:cs="Arial"/>
          <w:color w:val="010000"/>
          <w:sz w:val="20"/>
        </w:rPr>
        <w:t xml:space="preserve">The policy of the divestment of Dakruco </w:t>
      </w:r>
      <w:r w:rsidR="00A42719" w:rsidRPr="000002A1">
        <w:rPr>
          <w:rFonts w:ascii="Arial" w:hAnsi="Arial" w:cs="Arial"/>
          <w:color w:val="010000"/>
          <w:sz w:val="20"/>
        </w:rPr>
        <w:t>at DRI.</w:t>
      </w:r>
    </w:p>
    <w:p w14:paraId="0000000C" w14:textId="77777777" w:rsidR="000D203A" w:rsidRPr="000002A1" w:rsidRDefault="00A42719" w:rsidP="00FA1CB4">
      <w:pPr>
        <w:numPr>
          <w:ilvl w:val="0"/>
          <w:numId w:val="3"/>
        </w:numPr>
        <w:pBdr>
          <w:top w:val="nil"/>
          <w:left w:val="nil"/>
          <w:bottom w:val="nil"/>
          <w:right w:val="nil"/>
          <w:between w:val="nil"/>
        </w:pBdr>
        <w:tabs>
          <w:tab w:val="left" w:pos="810"/>
          <w:tab w:val="left" w:pos="1216"/>
        </w:tabs>
        <w:spacing w:after="120" w:line="360" w:lineRule="auto"/>
        <w:rPr>
          <w:rFonts w:ascii="Arial" w:eastAsia="Arial" w:hAnsi="Arial" w:cs="Arial"/>
          <w:color w:val="010000"/>
          <w:sz w:val="20"/>
          <w:szCs w:val="20"/>
        </w:rPr>
      </w:pPr>
      <w:r w:rsidRPr="000002A1">
        <w:rPr>
          <w:rFonts w:ascii="Arial" w:hAnsi="Arial" w:cs="Arial"/>
          <w:color w:val="010000"/>
          <w:sz w:val="20"/>
        </w:rPr>
        <w:t>Agree to divest 30.6% of the charter capital of Dakruco currently owned at Dak Lak Rubber Investment Joint Stock Company, corresponding to the number of shares to be divested/offered of 22,399,200 shares.</w:t>
      </w:r>
    </w:p>
    <w:p w14:paraId="0000000D" w14:textId="77777777" w:rsidR="000D203A" w:rsidRPr="000002A1" w:rsidRDefault="00A42719" w:rsidP="00FA1CB4">
      <w:pPr>
        <w:numPr>
          <w:ilvl w:val="0"/>
          <w:numId w:val="5"/>
        </w:numPr>
        <w:pBdr>
          <w:top w:val="nil"/>
          <w:left w:val="nil"/>
          <w:bottom w:val="nil"/>
          <w:right w:val="nil"/>
          <w:between w:val="nil"/>
        </w:pBdr>
        <w:tabs>
          <w:tab w:val="left" w:pos="810"/>
          <w:tab w:val="left" w:pos="1316"/>
        </w:tabs>
        <w:spacing w:after="120" w:line="360" w:lineRule="auto"/>
        <w:rPr>
          <w:rFonts w:ascii="Arial" w:eastAsia="Arial" w:hAnsi="Arial" w:cs="Arial"/>
          <w:color w:val="010000"/>
          <w:sz w:val="20"/>
          <w:szCs w:val="20"/>
        </w:rPr>
      </w:pPr>
      <w:r w:rsidRPr="000002A1">
        <w:rPr>
          <w:rFonts w:ascii="Arial" w:hAnsi="Arial" w:cs="Arial"/>
          <w:color w:val="010000"/>
          <w:sz w:val="20"/>
        </w:rPr>
        <w:t>Capital transfer plan:</w:t>
      </w:r>
    </w:p>
    <w:p w14:paraId="0000000E" w14:textId="77777777" w:rsidR="000D203A" w:rsidRPr="000002A1" w:rsidRDefault="00A42719" w:rsidP="00FA1CB4">
      <w:pPr>
        <w:numPr>
          <w:ilvl w:val="1"/>
          <w:numId w:val="5"/>
        </w:numPr>
        <w:pBdr>
          <w:top w:val="nil"/>
          <w:left w:val="nil"/>
          <w:bottom w:val="nil"/>
          <w:right w:val="nil"/>
          <w:between w:val="nil"/>
        </w:pBdr>
        <w:tabs>
          <w:tab w:val="left" w:pos="810"/>
          <w:tab w:val="left" w:pos="1439"/>
        </w:tabs>
        <w:spacing w:after="120" w:line="360" w:lineRule="auto"/>
        <w:rPr>
          <w:rFonts w:ascii="Arial" w:eastAsia="Arial" w:hAnsi="Arial" w:cs="Arial"/>
          <w:color w:val="010000"/>
          <w:sz w:val="20"/>
          <w:szCs w:val="20"/>
        </w:rPr>
      </w:pPr>
      <w:r w:rsidRPr="000002A1">
        <w:rPr>
          <w:rFonts w:ascii="Arial" w:hAnsi="Arial" w:cs="Arial"/>
          <w:color w:val="010000"/>
          <w:sz w:val="20"/>
        </w:rPr>
        <w:t>Number of shares</w:t>
      </w:r>
    </w:p>
    <w:p w14:paraId="0000000F" w14:textId="4F70266A" w:rsidR="000D203A" w:rsidRPr="000002A1" w:rsidRDefault="00A42719" w:rsidP="00FA1CB4">
      <w:pPr>
        <w:numPr>
          <w:ilvl w:val="0"/>
          <w:numId w:val="3"/>
        </w:numPr>
        <w:pBdr>
          <w:top w:val="nil"/>
          <w:left w:val="nil"/>
          <w:bottom w:val="nil"/>
          <w:right w:val="nil"/>
          <w:between w:val="nil"/>
        </w:pBdr>
        <w:tabs>
          <w:tab w:val="left" w:pos="810"/>
          <w:tab w:val="left" w:pos="1275"/>
        </w:tabs>
        <w:spacing w:after="120" w:line="360" w:lineRule="auto"/>
        <w:rPr>
          <w:rFonts w:ascii="Arial" w:eastAsia="Arial" w:hAnsi="Arial" w:cs="Arial"/>
          <w:color w:val="010000"/>
          <w:sz w:val="20"/>
          <w:szCs w:val="20"/>
        </w:rPr>
      </w:pPr>
      <w:r w:rsidRPr="000002A1">
        <w:rPr>
          <w:rFonts w:ascii="Arial" w:hAnsi="Arial" w:cs="Arial"/>
          <w:color w:val="010000"/>
          <w:sz w:val="20"/>
        </w:rPr>
        <w:t xml:space="preserve">Number of DRI’s shares </w:t>
      </w:r>
      <w:r w:rsidR="00396498" w:rsidRPr="000002A1">
        <w:rPr>
          <w:rFonts w:ascii="Arial" w:hAnsi="Arial" w:cs="Arial"/>
          <w:color w:val="010000"/>
          <w:sz w:val="20"/>
        </w:rPr>
        <w:t>transferred</w:t>
      </w:r>
      <w:r w:rsidRPr="000002A1">
        <w:rPr>
          <w:rFonts w:ascii="Arial" w:hAnsi="Arial" w:cs="Arial"/>
          <w:color w:val="010000"/>
          <w:sz w:val="20"/>
        </w:rPr>
        <w:t>: 22,399,200 share</w:t>
      </w:r>
      <w:r w:rsidR="00396498" w:rsidRPr="000002A1">
        <w:rPr>
          <w:rFonts w:ascii="Arial" w:hAnsi="Arial" w:cs="Arial"/>
          <w:color w:val="010000"/>
          <w:sz w:val="20"/>
        </w:rPr>
        <w:t>s</w:t>
      </w:r>
      <w:r w:rsidRPr="000002A1">
        <w:rPr>
          <w:rFonts w:ascii="Arial" w:hAnsi="Arial" w:cs="Arial"/>
          <w:color w:val="010000"/>
          <w:sz w:val="20"/>
        </w:rPr>
        <w:t>;</w:t>
      </w:r>
    </w:p>
    <w:p w14:paraId="00000010" w14:textId="77777777" w:rsidR="000D203A" w:rsidRPr="000002A1" w:rsidRDefault="00A42719" w:rsidP="00FA1CB4">
      <w:pPr>
        <w:numPr>
          <w:ilvl w:val="0"/>
          <w:numId w:val="3"/>
        </w:numPr>
        <w:pBdr>
          <w:top w:val="nil"/>
          <w:left w:val="nil"/>
          <w:bottom w:val="nil"/>
          <w:right w:val="nil"/>
          <w:between w:val="nil"/>
        </w:pBdr>
        <w:tabs>
          <w:tab w:val="left" w:pos="810"/>
          <w:tab w:val="left" w:pos="1275"/>
        </w:tabs>
        <w:spacing w:after="120" w:line="360" w:lineRule="auto"/>
        <w:rPr>
          <w:rFonts w:ascii="Arial" w:eastAsia="Arial" w:hAnsi="Arial" w:cs="Arial"/>
          <w:color w:val="010000"/>
          <w:sz w:val="20"/>
          <w:szCs w:val="20"/>
        </w:rPr>
      </w:pPr>
      <w:r w:rsidRPr="000002A1">
        <w:rPr>
          <w:rFonts w:ascii="Arial" w:hAnsi="Arial" w:cs="Arial"/>
          <w:color w:val="010000"/>
          <w:sz w:val="20"/>
        </w:rPr>
        <w:t>Type of shares: Common share</w:t>
      </w:r>
    </w:p>
    <w:p w14:paraId="00000011" w14:textId="77777777" w:rsidR="000D203A" w:rsidRPr="000002A1" w:rsidRDefault="00A42719" w:rsidP="00FA1CB4">
      <w:pPr>
        <w:numPr>
          <w:ilvl w:val="0"/>
          <w:numId w:val="3"/>
        </w:numPr>
        <w:pBdr>
          <w:top w:val="nil"/>
          <w:left w:val="nil"/>
          <w:bottom w:val="nil"/>
          <w:right w:val="nil"/>
          <w:between w:val="nil"/>
        </w:pBdr>
        <w:tabs>
          <w:tab w:val="left" w:pos="810"/>
          <w:tab w:val="left" w:pos="1275"/>
        </w:tabs>
        <w:spacing w:after="120" w:line="360" w:lineRule="auto"/>
        <w:rPr>
          <w:rFonts w:ascii="Arial" w:eastAsia="Arial" w:hAnsi="Arial" w:cs="Arial"/>
          <w:color w:val="010000"/>
          <w:sz w:val="20"/>
          <w:szCs w:val="20"/>
        </w:rPr>
      </w:pPr>
      <w:r w:rsidRPr="000002A1">
        <w:rPr>
          <w:rFonts w:ascii="Arial" w:hAnsi="Arial" w:cs="Arial"/>
          <w:color w:val="010000"/>
          <w:sz w:val="20"/>
        </w:rPr>
        <w:t>Type of shares to be transferred: Shares of Dak Lak Rubber Investment Joint Stock Company are freely transferable in accordance with the law;</w:t>
      </w:r>
    </w:p>
    <w:p w14:paraId="00000012" w14:textId="77777777" w:rsidR="000D203A" w:rsidRPr="000002A1" w:rsidRDefault="00A42719" w:rsidP="00FA1CB4">
      <w:pPr>
        <w:numPr>
          <w:ilvl w:val="1"/>
          <w:numId w:val="5"/>
        </w:numPr>
        <w:pBdr>
          <w:top w:val="nil"/>
          <w:left w:val="nil"/>
          <w:bottom w:val="nil"/>
          <w:right w:val="nil"/>
          <w:between w:val="nil"/>
        </w:pBdr>
        <w:tabs>
          <w:tab w:val="left" w:pos="810"/>
          <w:tab w:val="left" w:pos="1460"/>
        </w:tabs>
        <w:spacing w:after="120" w:line="360" w:lineRule="auto"/>
        <w:rPr>
          <w:rFonts w:ascii="Arial" w:eastAsia="Arial" w:hAnsi="Arial" w:cs="Arial"/>
          <w:color w:val="010000"/>
          <w:sz w:val="20"/>
          <w:szCs w:val="20"/>
        </w:rPr>
      </w:pPr>
      <w:r w:rsidRPr="000002A1">
        <w:rPr>
          <w:rFonts w:ascii="Arial" w:hAnsi="Arial" w:cs="Arial"/>
          <w:color w:val="010000"/>
          <w:sz w:val="20"/>
        </w:rPr>
        <w:t>The reserve price for the transfer is determined:</w:t>
      </w:r>
    </w:p>
    <w:p w14:paraId="00000013" w14:textId="2DF5FCF8" w:rsidR="000D203A" w:rsidRPr="000002A1" w:rsidRDefault="00396498" w:rsidP="00FA1CB4">
      <w:pPr>
        <w:numPr>
          <w:ilvl w:val="2"/>
          <w:numId w:val="5"/>
        </w:numPr>
        <w:pBdr>
          <w:top w:val="nil"/>
          <w:left w:val="nil"/>
          <w:bottom w:val="nil"/>
          <w:right w:val="nil"/>
          <w:between w:val="nil"/>
        </w:pBdr>
        <w:tabs>
          <w:tab w:val="left" w:pos="810"/>
          <w:tab w:val="left" w:pos="1727"/>
        </w:tabs>
        <w:spacing w:after="120" w:line="360" w:lineRule="auto"/>
        <w:rPr>
          <w:rFonts w:ascii="Arial" w:eastAsia="Arial" w:hAnsi="Arial" w:cs="Arial"/>
          <w:color w:val="010000"/>
          <w:sz w:val="20"/>
          <w:szCs w:val="20"/>
        </w:rPr>
      </w:pPr>
      <w:r w:rsidRPr="000002A1">
        <w:rPr>
          <w:rFonts w:ascii="Arial" w:hAnsi="Arial" w:cs="Arial"/>
          <w:color w:val="010000"/>
          <w:sz w:val="20"/>
        </w:rPr>
        <w:t>The results of</w:t>
      </w:r>
      <w:r w:rsidR="00A42719" w:rsidRPr="000002A1">
        <w:rPr>
          <w:rFonts w:ascii="Arial" w:hAnsi="Arial" w:cs="Arial"/>
          <w:color w:val="010000"/>
          <w:sz w:val="20"/>
        </w:rPr>
        <w:t xml:space="preserve"> Certificate of Price appraisal:</w:t>
      </w:r>
    </w:p>
    <w:p w14:paraId="00000014" w14:textId="2FECF1E8" w:rsidR="000D203A" w:rsidRPr="000002A1" w:rsidRDefault="00A42719" w:rsidP="00FA1CB4">
      <w:pPr>
        <w:numPr>
          <w:ilvl w:val="0"/>
          <w:numId w:val="3"/>
        </w:numPr>
        <w:pBdr>
          <w:top w:val="nil"/>
          <w:left w:val="nil"/>
          <w:bottom w:val="nil"/>
          <w:right w:val="nil"/>
          <w:between w:val="nil"/>
        </w:pBdr>
        <w:tabs>
          <w:tab w:val="left" w:pos="810"/>
          <w:tab w:val="left" w:pos="1361"/>
        </w:tabs>
        <w:spacing w:after="120" w:line="360" w:lineRule="auto"/>
        <w:rPr>
          <w:rFonts w:ascii="Arial" w:eastAsia="Arial" w:hAnsi="Arial" w:cs="Arial"/>
          <w:color w:val="010000"/>
          <w:sz w:val="20"/>
          <w:szCs w:val="20"/>
        </w:rPr>
      </w:pPr>
      <w:r w:rsidRPr="000002A1">
        <w:rPr>
          <w:rFonts w:ascii="Arial" w:hAnsi="Arial" w:cs="Arial"/>
          <w:color w:val="010000"/>
          <w:sz w:val="20"/>
        </w:rPr>
        <w:t>Pursuant to Certificate of Price appraisal No.</w:t>
      </w:r>
      <w:r w:rsidR="00AC3010" w:rsidRPr="000002A1">
        <w:rPr>
          <w:rFonts w:ascii="Arial" w:hAnsi="Arial" w:cs="Arial"/>
          <w:color w:val="010000"/>
          <w:sz w:val="20"/>
        </w:rPr>
        <w:t xml:space="preserve"> </w:t>
      </w:r>
      <w:r w:rsidRPr="000002A1">
        <w:rPr>
          <w:rFonts w:ascii="Arial" w:hAnsi="Arial" w:cs="Arial"/>
          <w:color w:val="010000"/>
          <w:sz w:val="20"/>
        </w:rPr>
        <w:t xml:space="preserve">140524.004/CTTD-TDG dated May 14, 2024 </w:t>
      </w:r>
      <w:r w:rsidRPr="000002A1">
        <w:rPr>
          <w:rFonts w:ascii="Arial" w:hAnsi="Arial" w:cs="Arial"/>
          <w:color w:val="010000"/>
          <w:sz w:val="20"/>
        </w:rPr>
        <w:lastRenderedPageBreak/>
        <w:t>issued by AASC Auditing Firm Company Limited. The value of the owner's equity of DRI determined by the discounted free cash flow to equity method as of December 31, 2023 is VND 1,026,376,430,099, equivalent to a share price of VND 14,022 per share.</w:t>
      </w:r>
    </w:p>
    <w:p w14:paraId="00000015" w14:textId="50F691BB" w:rsidR="000D203A" w:rsidRPr="000002A1" w:rsidRDefault="00A42719" w:rsidP="00FA1CB4">
      <w:pPr>
        <w:numPr>
          <w:ilvl w:val="0"/>
          <w:numId w:val="3"/>
        </w:numPr>
        <w:pBdr>
          <w:top w:val="nil"/>
          <w:left w:val="nil"/>
          <w:bottom w:val="nil"/>
          <w:right w:val="nil"/>
          <w:between w:val="nil"/>
        </w:pBdr>
        <w:tabs>
          <w:tab w:val="left" w:pos="810"/>
          <w:tab w:val="left" w:pos="1354"/>
        </w:tabs>
        <w:spacing w:after="120" w:line="360" w:lineRule="auto"/>
        <w:rPr>
          <w:rFonts w:ascii="Arial" w:eastAsia="Arial" w:hAnsi="Arial" w:cs="Arial"/>
          <w:color w:val="010000"/>
          <w:sz w:val="20"/>
          <w:szCs w:val="20"/>
        </w:rPr>
      </w:pPr>
      <w:r w:rsidRPr="000002A1">
        <w:rPr>
          <w:rFonts w:ascii="Arial" w:hAnsi="Arial" w:cs="Arial"/>
          <w:color w:val="010000"/>
          <w:sz w:val="20"/>
        </w:rPr>
        <w:t>Agree to round up the price in Certificate No. 140524.004/CTTD-TDG dated May 14, 2024 issued by AASC Auditing Firm Company Limited from VND 14,022 per share to VND 14,100 per share.</w:t>
      </w:r>
    </w:p>
    <w:p w14:paraId="00000016" w14:textId="77777777" w:rsidR="000D203A" w:rsidRPr="000002A1" w:rsidRDefault="00A42719" w:rsidP="00FA1CB4">
      <w:pPr>
        <w:numPr>
          <w:ilvl w:val="2"/>
          <w:numId w:val="5"/>
        </w:numPr>
        <w:pBdr>
          <w:top w:val="nil"/>
          <w:left w:val="nil"/>
          <w:bottom w:val="nil"/>
          <w:right w:val="nil"/>
          <w:between w:val="nil"/>
        </w:pBdr>
        <w:tabs>
          <w:tab w:val="left" w:pos="810"/>
          <w:tab w:val="left" w:pos="1887"/>
        </w:tabs>
        <w:spacing w:after="120" w:line="360" w:lineRule="auto"/>
        <w:rPr>
          <w:rFonts w:ascii="Arial" w:eastAsia="Arial" w:hAnsi="Arial" w:cs="Arial"/>
          <w:color w:val="010000"/>
          <w:sz w:val="20"/>
          <w:szCs w:val="20"/>
        </w:rPr>
      </w:pPr>
      <w:r w:rsidRPr="000002A1">
        <w:rPr>
          <w:rFonts w:ascii="Arial" w:hAnsi="Arial" w:cs="Arial"/>
          <w:color w:val="010000"/>
          <w:sz w:val="20"/>
        </w:rPr>
        <w:t>The reserve price for transferring Dakruco's capital at DRI:</w:t>
      </w:r>
    </w:p>
    <w:p w14:paraId="00000017" w14:textId="77777777" w:rsidR="000D203A" w:rsidRPr="000002A1" w:rsidRDefault="00A42719" w:rsidP="00FA1CB4">
      <w:pPr>
        <w:numPr>
          <w:ilvl w:val="0"/>
          <w:numId w:val="1"/>
        </w:numPr>
        <w:pBdr>
          <w:top w:val="nil"/>
          <w:left w:val="nil"/>
          <w:bottom w:val="nil"/>
          <w:right w:val="nil"/>
          <w:between w:val="nil"/>
        </w:pBdr>
        <w:tabs>
          <w:tab w:val="left" w:pos="810"/>
          <w:tab w:val="left" w:pos="1491"/>
        </w:tabs>
        <w:spacing w:after="120" w:line="360" w:lineRule="auto"/>
        <w:rPr>
          <w:rFonts w:ascii="Arial" w:eastAsia="Arial" w:hAnsi="Arial" w:cs="Arial"/>
          <w:color w:val="010000"/>
          <w:sz w:val="20"/>
          <w:szCs w:val="20"/>
        </w:rPr>
      </w:pPr>
      <w:r w:rsidRPr="000002A1">
        <w:rPr>
          <w:rFonts w:ascii="Arial" w:hAnsi="Arial" w:cs="Arial"/>
          <w:color w:val="010000"/>
          <w:sz w:val="20"/>
        </w:rPr>
        <w:t>Principle to determine reserve price:</w:t>
      </w:r>
    </w:p>
    <w:p w14:paraId="00000018" w14:textId="77777777" w:rsidR="000D203A" w:rsidRPr="000002A1" w:rsidRDefault="00A42719" w:rsidP="00FA1CB4">
      <w:pPr>
        <w:pBdr>
          <w:top w:val="nil"/>
          <w:left w:val="nil"/>
          <w:bottom w:val="nil"/>
          <w:right w:val="nil"/>
          <w:between w:val="nil"/>
        </w:pBdr>
        <w:tabs>
          <w:tab w:val="left" w:pos="810"/>
        </w:tabs>
        <w:spacing w:after="120" w:line="360" w:lineRule="auto"/>
        <w:rPr>
          <w:rFonts w:ascii="Arial" w:eastAsia="Arial" w:hAnsi="Arial" w:cs="Arial"/>
          <w:color w:val="010000"/>
          <w:sz w:val="20"/>
          <w:szCs w:val="20"/>
        </w:rPr>
      </w:pPr>
      <w:r w:rsidRPr="000002A1">
        <w:rPr>
          <w:rFonts w:ascii="Arial" w:hAnsi="Arial" w:cs="Arial"/>
          <w:color w:val="010000"/>
          <w:sz w:val="20"/>
        </w:rPr>
        <w:t>The reserve price for the transfer of capital is determined according to the principle of the highest prices among the prices: (i) The determined price of the organization with the function of valuation (VND 14,100 per share); (ii) The average reference price for 30 consecutive days prior to the date of approval of the capital transfer plan of DRI; (iii) The reference price of DRI one day prior to the date of approval of the capital transfer plan.</w:t>
      </w:r>
    </w:p>
    <w:p w14:paraId="00000019" w14:textId="77777777" w:rsidR="000D203A" w:rsidRPr="000002A1" w:rsidRDefault="00A42719" w:rsidP="00FA1CB4">
      <w:pPr>
        <w:numPr>
          <w:ilvl w:val="0"/>
          <w:numId w:val="1"/>
        </w:numPr>
        <w:pBdr>
          <w:top w:val="nil"/>
          <w:left w:val="nil"/>
          <w:bottom w:val="nil"/>
          <w:right w:val="nil"/>
          <w:between w:val="nil"/>
        </w:pBdr>
        <w:tabs>
          <w:tab w:val="left" w:pos="810"/>
          <w:tab w:val="left" w:pos="1509"/>
        </w:tabs>
        <w:spacing w:after="120" w:line="360" w:lineRule="auto"/>
        <w:rPr>
          <w:rFonts w:ascii="Arial" w:eastAsia="Arial" w:hAnsi="Arial" w:cs="Arial"/>
          <w:color w:val="010000"/>
          <w:sz w:val="20"/>
          <w:szCs w:val="20"/>
        </w:rPr>
      </w:pPr>
      <w:r w:rsidRPr="000002A1">
        <w:rPr>
          <w:rFonts w:ascii="Arial" w:hAnsi="Arial" w:cs="Arial"/>
          <w:color w:val="010000"/>
          <w:sz w:val="20"/>
        </w:rPr>
        <w:t>The reserve price for the transfer of capital</w:t>
      </w:r>
    </w:p>
    <w:p w14:paraId="0000001A" w14:textId="7DA5B57A" w:rsidR="000D203A" w:rsidRPr="000002A1" w:rsidRDefault="00A42719" w:rsidP="00FA1CB4">
      <w:pPr>
        <w:numPr>
          <w:ilvl w:val="0"/>
          <w:numId w:val="2"/>
        </w:numPr>
        <w:pBdr>
          <w:top w:val="nil"/>
          <w:left w:val="nil"/>
          <w:bottom w:val="nil"/>
          <w:right w:val="nil"/>
          <w:between w:val="nil"/>
        </w:pBdr>
        <w:tabs>
          <w:tab w:val="left" w:pos="810"/>
        </w:tabs>
        <w:spacing w:after="120" w:line="360" w:lineRule="auto"/>
        <w:rPr>
          <w:rFonts w:ascii="Arial" w:eastAsia="Arial" w:hAnsi="Arial" w:cs="Arial"/>
          <w:color w:val="010000"/>
          <w:sz w:val="20"/>
          <w:szCs w:val="20"/>
        </w:rPr>
      </w:pPr>
      <w:r w:rsidRPr="000002A1">
        <w:rPr>
          <w:rFonts w:ascii="Arial" w:hAnsi="Arial" w:cs="Arial"/>
          <w:color w:val="010000"/>
          <w:sz w:val="20"/>
        </w:rPr>
        <w:t xml:space="preserve">The reserve price of DRI shares according to the </w:t>
      </w:r>
      <w:r w:rsidR="00396498" w:rsidRPr="000002A1">
        <w:rPr>
          <w:rFonts w:ascii="Arial" w:hAnsi="Arial" w:cs="Arial"/>
          <w:color w:val="010000"/>
          <w:sz w:val="20"/>
        </w:rPr>
        <w:t>Certificate of Price appraisal</w:t>
      </w:r>
      <w:r w:rsidRPr="000002A1">
        <w:rPr>
          <w:rFonts w:ascii="Arial" w:hAnsi="Arial" w:cs="Arial"/>
          <w:color w:val="010000"/>
          <w:sz w:val="20"/>
        </w:rPr>
        <w:t xml:space="preserve"> is rounded up to VND 14,100 per share.</w:t>
      </w:r>
    </w:p>
    <w:p w14:paraId="0000001B" w14:textId="77777777" w:rsidR="000D203A" w:rsidRPr="000002A1" w:rsidRDefault="00A42719" w:rsidP="00FA1CB4">
      <w:pPr>
        <w:numPr>
          <w:ilvl w:val="0"/>
          <w:numId w:val="2"/>
        </w:numPr>
        <w:pBdr>
          <w:top w:val="nil"/>
          <w:left w:val="nil"/>
          <w:bottom w:val="nil"/>
          <w:right w:val="nil"/>
          <w:between w:val="nil"/>
        </w:pBdr>
        <w:tabs>
          <w:tab w:val="left" w:pos="810"/>
          <w:tab w:val="left" w:pos="1599"/>
        </w:tabs>
        <w:spacing w:after="120" w:line="360" w:lineRule="auto"/>
        <w:rPr>
          <w:rFonts w:ascii="Arial" w:eastAsia="Arial" w:hAnsi="Arial" w:cs="Arial"/>
          <w:color w:val="010000"/>
          <w:sz w:val="20"/>
          <w:szCs w:val="20"/>
        </w:rPr>
      </w:pPr>
      <w:r w:rsidRPr="000002A1">
        <w:rPr>
          <w:rFonts w:ascii="Arial" w:hAnsi="Arial" w:cs="Arial"/>
          <w:color w:val="010000"/>
          <w:sz w:val="20"/>
        </w:rPr>
        <w:t>According to the statistics of the Hanoi Stock Exchange, the average reference price for 30 consecutive days of DRI shares as of May 20, 2024 is VND 12,297 per share.</w:t>
      </w:r>
    </w:p>
    <w:p w14:paraId="0000001C" w14:textId="77777777" w:rsidR="000D203A" w:rsidRPr="000002A1" w:rsidRDefault="00A42719" w:rsidP="00FA1CB4">
      <w:pPr>
        <w:numPr>
          <w:ilvl w:val="0"/>
          <w:numId w:val="2"/>
        </w:numPr>
        <w:pBdr>
          <w:top w:val="nil"/>
          <w:left w:val="nil"/>
          <w:bottom w:val="nil"/>
          <w:right w:val="nil"/>
          <w:between w:val="nil"/>
        </w:pBdr>
        <w:tabs>
          <w:tab w:val="left" w:pos="810"/>
          <w:tab w:val="left" w:pos="1678"/>
        </w:tabs>
        <w:spacing w:after="120" w:line="360" w:lineRule="auto"/>
        <w:rPr>
          <w:rFonts w:ascii="Arial" w:eastAsia="Arial" w:hAnsi="Arial" w:cs="Arial"/>
          <w:color w:val="010000"/>
          <w:sz w:val="20"/>
          <w:szCs w:val="20"/>
        </w:rPr>
      </w:pPr>
      <w:r w:rsidRPr="000002A1">
        <w:rPr>
          <w:rFonts w:ascii="Arial" w:hAnsi="Arial" w:cs="Arial"/>
          <w:color w:val="010000"/>
          <w:sz w:val="20"/>
        </w:rPr>
        <w:t>According to the statistics of the Hanoi Stock Exchange, the reference price of DRI shares on May 21, 2024 is VND 13,000 per share.</w:t>
      </w:r>
    </w:p>
    <w:p w14:paraId="0000001D" w14:textId="2DF64A4B" w:rsidR="000D203A" w:rsidRPr="000002A1" w:rsidRDefault="00A42719" w:rsidP="00FA1CB4">
      <w:pPr>
        <w:pBdr>
          <w:top w:val="nil"/>
          <w:left w:val="nil"/>
          <w:bottom w:val="nil"/>
          <w:right w:val="nil"/>
          <w:between w:val="nil"/>
        </w:pBdr>
        <w:tabs>
          <w:tab w:val="left" w:pos="810"/>
        </w:tabs>
        <w:spacing w:after="120" w:line="360" w:lineRule="auto"/>
        <w:rPr>
          <w:rFonts w:ascii="Arial" w:eastAsia="Arial" w:hAnsi="Arial" w:cs="Arial"/>
          <w:color w:val="010000"/>
          <w:sz w:val="20"/>
          <w:szCs w:val="20"/>
        </w:rPr>
      </w:pPr>
      <w:r w:rsidRPr="000002A1">
        <w:rPr>
          <w:rFonts w:ascii="Arial" w:hAnsi="Arial" w:cs="Arial"/>
          <w:color w:val="010000"/>
          <w:sz w:val="20"/>
        </w:rPr>
        <w:t xml:space="preserve">Thus, the reserve price for the transfer of Dakruco's capital </w:t>
      </w:r>
      <w:r w:rsidR="00396498" w:rsidRPr="000002A1">
        <w:rPr>
          <w:rFonts w:ascii="Arial" w:hAnsi="Arial" w:cs="Arial"/>
          <w:color w:val="010000"/>
          <w:sz w:val="20"/>
        </w:rPr>
        <w:t>at</w:t>
      </w:r>
      <w:r w:rsidRPr="000002A1">
        <w:rPr>
          <w:rFonts w:ascii="Arial" w:hAnsi="Arial" w:cs="Arial"/>
          <w:color w:val="010000"/>
          <w:sz w:val="20"/>
        </w:rPr>
        <w:t xml:space="preserve"> DRI is VND 14,100 per share.</w:t>
      </w:r>
    </w:p>
    <w:p w14:paraId="0000001E" w14:textId="6C525564" w:rsidR="000D203A" w:rsidRPr="000002A1" w:rsidRDefault="00A42719" w:rsidP="00FA1CB4">
      <w:pPr>
        <w:numPr>
          <w:ilvl w:val="1"/>
          <w:numId w:val="5"/>
        </w:numPr>
        <w:pBdr>
          <w:top w:val="nil"/>
          <w:left w:val="nil"/>
          <w:bottom w:val="nil"/>
          <w:right w:val="nil"/>
          <w:between w:val="nil"/>
        </w:pBdr>
        <w:tabs>
          <w:tab w:val="left" w:pos="810"/>
          <w:tab w:val="left" w:pos="1458"/>
        </w:tabs>
        <w:spacing w:after="120" w:line="360" w:lineRule="auto"/>
        <w:rPr>
          <w:rFonts w:ascii="Arial" w:eastAsia="Arial" w:hAnsi="Arial" w:cs="Arial"/>
          <w:color w:val="010000"/>
          <w:sz w:val="20"/>
          <w:szCs w:val="20"/>
        </w:rPr>
      </w:pPr>
      <w:r w:rsidRPr="000002A1">
        <w:rPr>
          <w:rFonts w:ascii="Arial" w:hAnsi="Arial" w:cs="Arial"/>
          <w:color w:val="010000"/>
          <w:sz w:val="20"/>
        </w:rPr>
        <w:t xml:space="preserve">Offering method: The offering shall be made through </w:t>
      </w:r>
      <w:r w:rsidR="000002A1" w:rsidRPr="000002A1">
        <w:rPr>
          <w:rFonts w:ascii="Arial" w:hAnsi="Arial" w:cs="Arial"/>
          <w:color w:val="010000"/>
          <w:sz w:val="20"/>
        </w:rPr>
        <w:t>methods of put-throught</w:t>
      </w:r>
      <w:r w:rsidRPr="000002A1">
        <w:rPr>
          <w:rFonts w:ascii="Arial" w:hAnsi="Arial" w:cs="Arial"/>
          <w:color w:val="010000"/>
          <w:sz w:val="20"/>
        </w:rPr>
        <w:t xml:space="preserve"> and/or continuous order matching through the Stock Exchange.</w:t>
      </w:r>
    </w:p>
    <w:p w14:paraId="0000001F" w14:textId="26597CE2" w:rsidR="000D203A" w:rsidRPr="000002A1" w:rsidRDefault="00A42719" w:rsidP="00FA1CB4">
      <w:pPr>
        <w:numPr>
          <w:ilvl w:val="1"/>
          <w:numId w:val="5"/>
        </w:numPr>
        <w:pBdr>
          <w:top w:val="nil"/>
          <w:left w:val="nil"/>
          <w:bottom w:val="nil"/>
          <w:right w:val="nil"/>
          <w:between w:val="nil"/>
        </w:pBdr>
        <w:tabs>
          <w:tab w:val="left" w:pos="810"/>
          <w:tab w:val="left" w:pos="1449"/>
        </w:tabs>
        <w:spacing w:after="120" w:line="360" w:lineRule="auto"/>
        <w:rPr>
          <w:rFonts w:ascii="Arial" w:eastAsia="Arial" w:hAnsi="Arial" w:cs="Arial"/>
          <w:color w:val="010000"/>
          <w:sz w:val="20"/>
          <w:szCs w:val="20"/>
        </w:rPr>
      </w:pPr>
      <w:r w:rsidRPr="000002A1">
        <w:rPr>
          <w:rFonts w:ascii="Arial" w:hAnsi="Arial" w:cs="Arial"/>
          <w:color w:val="010000"/>
          <w:sz w:val="20"/>
        </w:rPr>
        <w:t xml:space="preserve">Eligible buyers: Individual and institutional investors who have the demand and ensure the transfer of shares </w:t>
      </w:r>
      <w:r w:rsidR="00396498" w:rsidRPr="000002A1">
        <w:rPr>
          <w:rFonts w:ascii="Arial" w:hAnsi="Arial" w:cs="Arial"/>
          <w:color w:val="010000"/>
          <w:sz w:val="20"/>
        </w:rPr>
        <w:t>meets</w:t>
      </w:r>
      <w:r w:rsidRPr="000002A1">
        <w:rPr>
          <w:rFonts w:ascii="Arial" w:hAnsi="Arial" w:cs="Arial"/>
          <w:color w:val="010000"/>
          <w:sz w:val="20"/>
        </w:rPr>
        <w:t xml:space="preserve"> the foreign ownership rate in accordance with the law.</w:t>
      </w:r>
    </w:p>
    <w:p w14:paraId="00000020" w14:textId="77777777" w:rsidR="000D203A" w:rsidRPr="000002A1" w:rsidRDefault="00A42719" w:rsidP="00FA1CB4">
      <w:pPr>
        <w:numPr>
          <w:ilvl w:val="1"/>
          <w:numId w:val="5"/>
        </w:numPr>
        <w:pBdr>
          <w:top w:val="nil"/>
          <w:left w:val="nil"/>
          <w:bottom w:val="nil"/>
          <w:right w:val="nil"/>
          <w:between w:val="nil"/>
        </w:pBdr>
        <w:tabs>
          <w:tab w:val="left" w:pos="810"/>
          <w:tab w:val="left" w:pos="1438"/>
        </w:tabs>
        <w:spacing w:after="120" w:line="360" w:lineRule="auto"/>
        <w:rPr>
          <w:rFonts w:ascii="Arial" w:eastAsia="Arial" w:hAnsi="Arial" w:cs="Arial"/>
          <w:color w:val="010000"/>
          <w:sz w:val="20"/>
          <w:szCs w:val="20"/>
        </w:rPr>
      </w:pPr>
      <w:r w:rsidRPr="000002A1">
        <w:rPr>
          <w:rFonts w:ascii="Arial" w:hAnsi="Arial" w:cs="Arial"/>
          <w:color w:val="010000"/>
          <w:sz w:val="20"/>
        </w:rPr>
        <w:t>Transfer time: Implement information disclosure and share offering in accordance with the law, ensuring the time of share transfer before the expiry of the Certificate of Price appraisal No. 140524.004/CTTD-TDG dated May 14, 2024.</w:t>
      </w:r>
    </w:p>
    <w:p w14:paraId="00000021" w14:textId="77777777" w:rsidR="000D203A" w:rsidRPr="000002A1" w:rsidRDefault="00A42719" w:rsidP="00FA1CB4">
      <w:pPr>
        <w:numPr>
          <w:ilvl w:val="1"/>
          <w:numId w:val="5"/>
        </w:numPr>
        <w:pBdr>
          <w:top w:val="nil"/>
          <w:left w:val="nil"/>
          <w:bottom w:val="nil"/>
          <w:right w:val="nil"/>
          <w:between w:val="nil"/>
        </w:pBdr>
        <w:tabs>
          <w:tab w:val="left" w:pos="810"/>
          <w:tab w:val="left" w:pos="1437"/>
        </w:tabs>
        <w:spacing w:after="120" w:line="360" w:lineRule="auto"/>
        <w:rPr>
          <w:rFonts w:ascii="Arial" w:eastAsia="Arial" w:hAnsi="Arial" w:cs="Arial"/>
          <w:color w:val="010000"/>
          <w:sz w:val="20"/>
          <w:szCs w:val="20"/>
        </w:rPr>
      </w:pPr>
      <w:r w:rsidRPr="000002A1">
        <w:rPr>
          <w:rFonts w:ascii="Arial" w:hAnsi="Arial" w:cs="Arial"/>
          <w:color w:val="010000"/>
          <w:sz w:val="20"/>
        </w:rPr>
        <w:t>Capital transfer consulting organization: Agribank Securities Joint Stock Corporation.</w:t>
      </w:r>
    </w:p>
    <w:p w14:paraId="00000022" w14:textId="77777777" w:rsidR="000D203A" w:rsidRPr="000002A1" w:rsidRDefault="00A42719" w:rsidP="00FA1CB4">
      <w:pPr>
        <w:numPr>
          <w:ilvl w:val="0"/>
          <w:numId w:val="5"/>
        </w:numPr>
        <w:pBdr>
          <w:top w:val="nil"/>
          <w:left w:val="nil"/>
          <w:bottom w:val="nil"/>
          <w:right w:val="nil"/>
          <w:between w:val="nil"/>
        </w:pBdr>
        <w:tabs>
          <w:tab w:val="left" w:pos="810"/>
          <w:tab w:val="left" w:pos="1446"/>
        </w:tabs>
        <w:spacing w:after="120" w:line="360" w:lineRule="auto"/>
        <w:rPr>
          <w:rFonts w:ascii="Arial" w:eastAsia="Arial" w:hAnsi="Arial" w:cs="Arial"/>
          <w:color w:val="010000"/>
          <w:sz w:val="20"/>
          <w:szCs w:val="20"/>
        </w:rPr>
      </w:pPr>
      <w:r w:rsidRPr="000002A1">
        <w:rPr>
          <w:rFonts w:ascii="Arial" w:hAnsi="Arial" w:cs="Arial"/>
          <w:color w:val="010000"/>
          <w:sz w:val="20"/>
        </w:rPr>
        <w:t>Authorize the Chair of the Board of Directors to perform the following tasks:</w:t>
      </w:r>
    </w:p>
    <w:p w14:paraId="00000023" w14:textId="32A8199F" w:rsidR="000D203A" w:rsidRPr="000002A1" w:rsidRDefault="00A42719" w:rsidP="00FA1CB4">
      <w:pPr>
        <w:numPr>
          <w:ilvl w:val="1"/>
          <w:numId w:val="5"/>
        </w:numPr>
        <w:pBdr>
          <w:top w:val="nil"/>
          <w:left w:val="nil"/>
          <w:bottom w:val="nil"/>
          <w:right w:val="nil"/>
          <w:between w:val="nil"/>
        </w:pBdr>
        <w:tabs>
          <w:tab w:val="left" w:pos="810"/>
          <w:tab w:val="left" w:pos="1584"/>
        </w:tabs>
        <w:spacing w:after="120" w:line="360" w:lineRule="auto"/>
        <w:rPr>
          <w:rFonts w:ascii="Arial" w:eastAsia="Arial" w:hAnsi="Arial" w:cs="Arial"/>
          <w:color w:val="010000"/>
          <w:sz w:val="20"/>
          <w:szCs w:val="20"/>
        </w:rPr>
      </w:pPr>
      <w:r w:rsidRPr="000002A1">
        <w:rPr>
          <w:rFonts w:ascii="Arial" w:hAnsi="Arial" w:cs="Arial"/>
          <w:color w:val="010000"/>
          <w:sz w:val="20"/>
        </w:rPr>
        <w:t xml:space="preserve">Approve the reserve price for the transfer of Dakruco's capital in DRI </w:t>
      </w:r>
      <w:r w:rsidR="00396498" w:rsidRPr="000002A1">
        <w:rPr>
          <w:rFonts w:ascii="Arial" w:hAnsi="Arial" w:cs="Arial"/>
          <w:color w:val="010000"/>
          <w:sz w:val="20"/>
        </w:rPr>
        <w:t>at</w:t>
      </w:r>
      <w:r w:rsidRPr="000002A1">
        <w:rPr>
          <w:rFonts w:ascii="Arial" w:hAnsi="Arial" w:cs="Arial"/>
          <w:color w:val="010000"/>
          <w:sz w:val="20"/>
        </w:rPr>
        <w:t xml:space="preserve"> the date of information disclosure for the offering, in case the pre-approved </w:t>
      </w:r>
      <w:r w:rsidR="00396498" w:rsidRPr="000002A1">
        <w:rPr>
          <w:rFonts w:ascii="Arial" w:hAnsi="Arial" w:cs="Arial"/>
          <w:color w:val="010000"/>
          <w:sz w:val="20"/>
        </w:rPr>
        <w:t xml:space="preserve">reserve price </w:t>
      </w:r>
      <w:r w:rsidRPr="000002A1">
        <w:rPr>
          <w:rFonts w:ascii="Arial" w:hAnsi="Arial" w:cs="Arial"/>
          <w:color w:val="010000"/>
          <w:sz w:val="20"/>
        </w:rPr>
        <w:t>is lower than the reference price of DRI being traded on the Hanoi Stock Exchange one day before the information disclosure and not lower than the starting price of VND 14,100 per share.</w:t>
      </w:r>
    </w:p>
    <w:p w14:paraId="00000024" w14:textId="77777777" w:rsidR="000D203A" w:rsidRPr="000002A1" w:rsidRDefault="00A42719" w:rsidP="00FA1CB4">
      <w:pPr>
        <w:numPr>
          <w:ilvl w:val="1"/>
          <w:numId w:val="5"/>
        </w:numPr>
        <w:pBdr>
          <w:top w:val="nil"/>
          <w:left w:val="nil"/>
          <w:bottom w:val="nil"/>
          <w:right w:val="nil"/>
          <w:between w:val="nil"/>
        </w:pBdr>
        <w:tabs>
          <w:tab w:val="left" w:pos="810"/>
          <w:tab w:val="left" w:pos="1451"/>
        </w:tabs>
        <w:spacing w:after="120" w:line="360" w:lineRule="auto"/>
        <w:rPr>
          <w:rFonts w:ascii="Arial" w:eastAsia="Arial" w:hAnsi="Arial" w:cs="Arial"/>
          <w:color w:val="010000"/>
          <w:sz w:val="20"/>
          <w:szCs w:val="20"/>
        </w:rPr>
      </w:pPr>
      <w:r w:rsidRPr="000002A1">
        <w:rPr>
          <w:rFonts w:ascii="Arial" w:hAnsi="Arial" w:cs="Arial"/>
          <w:color w:val="010000"/>
          <w:sz w:val="20"/>
        </w:rPr>
        <w:t xml:space="preserve">Implement related work with the consulting organization and carry out the subsequent legal </w:t>
      </w:r>
      <w:r w:rsidRPr="000002A1">
        <w:rPr>
          <w:rFonts w:ascii="Arial" w:hAnsi="Arial" w:cs="Arial"/>
          <w:color w:val="010000"/>
          <w:sz w:val="20"/>
        </w:rPr>
        <w:lastRenderedPageBreak/>
        <w:t>procedures to complete the offering in accordance with the law;</w:t>
      </w:r>
    </w:p>
    <w:p w14:paraId="00000025" w14:textId="77777777" w:rsidR="000D203A" w:rsidRPr="000002A1" w:rsidRDefault="00A42719" w:rsidP="00FA1CB4">
      <w:pPr>
        <w:numPr>
          <w:ilvl w:val="1"/>
          <w:numId w:val="5"/>
        </w:numPr>
        <w:pBdr>
          <w:top w:val="nil"/>
          <w:left w:val="nil"/>
          <w:bottom w:val="nil"/>
          <w:right w:val="nil"/>
          <w:between w:val="nil"/>
        </w:pBdr>
        <w:tabs>
          <w:tab w:val="left" w:pos="810"/>
          <w:tab w:val="left" w:pos="1451"/>
        </w:tabs>
        <w:spacing w:after="120" w:line="360" w:lineRule="auto"/>
        <w:rPr>
          <w:rFonts w:ascii="Arial" w:eastAsia="Arial" w:hAnsi="Arial" w:cs="Arial"/>
          <w:color w:val="010000"/>
          <w:sz w:val="20"/>
          <w:szCs w:val="20"/>
        </w:rPr>
      </w:pPr>
      <w:r w:rsidRPr="000002A1">
        <w:rPr>
          <w:rFonts w:ascii="Arial" w:hAnsi="Arial" w:cs="Arial"/>
          <w:color w:val="010000"/>
          <w:sz w:val="20"/>
        </w:rPr>
        <w:t>Direct the implementation and coordinate with the relevant units to organize the implementation of the plan effectively and ensure compliance with the law and the Company's Charter;</w:t>
      </w:r>
    </w:p>
    <w:p w14:paraId="00000026" w14:textId="77777777" w:rsidR="000D203A" w:rsidRPr="000002A1" w:rsidRDefault="00A42719" w:rsidP="00FA1CB4">
      <w:pPr>
        <w:numPr>
          <w:ilvl w:val="1"/>
          <w:numId w:val="5"/>
        </w:numPr>
        <w:pBdr>
          <w:top w:val="nil"/>
          <w:left w:val="nil"/>
          <w:bottom w:val="nil"/>
          <w:right w:val="nil"/>
          <w:between w:val="nil"/>
        </w:pBdr>
        <w:tabs>
          <w:tab w:val="left" w:pos="810"/>
          <w:tab w:val="left" w:pos="1455"/>
        </w:tabs>
        <w:spacing w:after="120" w:line="360" w:lineRule="auto"/>
        <w:rPr>
          <w:rFonts w:ascii="Arial" w:eastAsia="Arial" w:hAnsi="Arial" w:cs="Arial"/>
          <w:color w:val="010000"/>
          <w:sz w:val="20"/>
          <w:szCs w:val="20"/>
        </w:rPr>
      </w:pPr>
      <w:r w:rsidRPr="000002A1">
        <w:rPr>
          <w:rFonts w:ascii="Arial" w:hAnsi="Arial" w:cs="Arial"/>
          <w:color w:val="010000"/>
          <w:sz w:val="20"/>
        </w:rPr>
        <w:t>Perform other tasks to complete the capital transfer plan in accordance with the regulations and report to the Board of Directors of the Company.</w:t>
      </w:r>
    </w:p>
    <w:p w14:paraId="00000027" w14:textId="77777777" w:rsidR="000D203A" w:rsidRPr="000002A1" w:rsidRDefault="00A42719" w:rsidP="00FA1CB4">
      <w:pPr>
        <w:numPr>
          <w:ilvl w:val="0"/>
          <w:numId w:val="5"/>
        </w:numPr>
        <w:pBdr>
          <w:top w:val="nil"/>
          <w:left w:val="nil"/>
          <w:bottom w:val="nil"/>
          <w:right w:val="nil"/>
          <w:between w:val="nil"/>
        </w:pBdr>
        <w:tabs>
          <w:tab w:val="left" w:pos="810"/>
          <w:tab w:val="left" w:pos="1347"/>
        </w:tabs>
        <w:spacing w:after="120" w:line="360" w:lineRule="auto"/>
        <w:rPr>
          <w:rFonts w:ascii="Arial" w:eastAsia="Arial" w:hAnsi="Arial" w:cs="Arial"/>
          <w:color w:val="010000"/>
          <w:sz w:val="20"/>
          <w:szCs w:val="20"/>
        </w:rPr>
      </w:pPr>
      <w:r w:rsidRPr="000002A1">
        <w:rPr>
          <w:rFonts w:ascii="Arial" w:hAnsi="Arial" w:cs="Arial"/>
          <w:color w:val="010000"/>
          <w:sz w:val="20"/>
        </w:rPr>
        <w:t>Implement the transfer of 30.6% of the charter capital of DRI, equivalent to 22,399,200 shares currently deposited at BIDV Securities Joint Stock Company to be deposited at Agribank Securities Joint Stock Corporation.</w:t>
      </w:r>
    </w:p>
    <w:p w14:paraId="00000028" w14:textId="77777777" w:rsidR="000D203A" w:rsidRPr="000002A1" w:rsidRDefault="00A42719" w:rsidP="00FA1CB4">
      <w:pPr>
        <w:pBdr>
          <w:top w:val="nil"/>
          <w:left w:val="nil"/>
          <w:bottom w:val="nil"/>
          <w:right w:val="nil"/>
          <w:between w:val="nil"/>
        </w:pBdr>
        <w:tabs>
          <w:tab w:val="left" w:pos="810"/>
        </w:tabs>
        <w:spacing w:after="120" w:line="360" w:lineRule="auto"/>
        <w:rPr>
          <w:rFonts w:ascii="Arial" w:eastAsia="Arial" w:hAnsi="Arial" w:cs="Arial"/>
          <w:color w:val="010000"/>
          <w:sz w:val="20"/>
          <w:szCs w:val="20"/>
        </w:rPr>
      </w:pPr>
      <w:r w:rsidRPr="000002A1">
        <w:rPr>
          <w:rFonts w:ascii="Arial" w:hAnsi="Arial" w:cs="Arial"/>
          <w:color w:val="010000"/>
          <w:sz w:val="20"/>
        </w:rPr>
        <w:t>Article 3: This Resolution takes effect from the date of its signing. Members of the Board of Directors; The representative of Dakruco's capital at Dak Lak Rubber Investment Joint Stock Company, Rubber Wood Processing Joint Stock Company, Thai Duong Rubber Joint Stock Company and the General Manager of DakLak Rubber Joint Stock Company are responsible for implementing this Resolution./.</w:t>
      </w:r>
    </w:p>
    <w:sectPr w:rsidR="000D203A" w:rsidRPr="000002A1" w:rsidSect="00FA1CB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16A"/>
    <w:multiLevelType w:val="multilevel"/>
    <w:tmpl w:val="30BC1E1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871D2E"/>
    <w:multiLevelType w:val="multilevel"/>
    <w:tmpl w:val="08945860"/>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10B2609"/>
    <w:multiLevelType w:val="multilevel"/>
    <w:tmpl w:val="DCC8883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860751F"/>
    <w:multiLevelType w:val="multilevel"/>
    <w:tmpl w:val="48E04D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E534000"/>
    <w:multiLevelType w:val="multilevel"/>
    <w:tmpl w:val="05A6287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3A"/>
    <w:rsid w:val="000002A1"/>
    <w:rsid w:val="000D203A"/>
    <w:rsid w:val="00396498"/>
    <w:rsid w:val="004816FB"/>
    <w:rsid w:val="00994C2F"/>
    <w:rsid w:val="00A42719"/>
    <w:rsid w:val="00AC3010"/>
    <w:rsid w:val="00FA1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87FFC"/>
  <w15:docId w15:val="{A4CACE62-335E-4A6D-BA20-C5BA230B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b w:val="0"/>
      <w:bCs w:val="0"/>
      <w:i w:val="0"/>
      <w:iCs w:val="0"/>
      <w:smallCaps w:val="0"/>
      <w:strike w:val="0"/>
      <w:color w:val="E4615F"/>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30">
    <w:name w:val="Body text (3)"/>
    <w:basedOn w:val="Normal"/>
    <w:link w:val="Bodytext3"/>
    <w:pPr>
      <w:spacing w:line="173" w:lineRule="auto"/>
    </w:pPr>
    <w:rPr>
      <w:color w:val="E4615F"/>
      <w:sz w:val="32"/>
      <w:szCs w:val="32"/>
    </w:rPr>
  </w:style>
  <w:style w:type="paragraph" w:customStyle="1" w:styleId="Bodytext20">
    <w:name w:val="Body text (2)"/>
    <w:basedOn w:val="Normal"/>
    <w:link w:val="Bodytext2"/>
    <w:pPr>
      <w:ind w:firstLine="190"/>
    </w:pPr>
    <w:rPr>
      <w:rFonts w:ascii="Times New Roman" w:eastAsia="Times New Roman" w:hAnsi="Times New Roman" w:cs="Times New Roman"/>
      <w:sz w:val="20"/>
      <w:szCs w:val="20"/>
    </w:rPr>
  </w:style>
  <w:style w:type="paragraph" w:customStyle="1" w:styleId="Heading11">
    <w:name w:val="Heading #1"/>
    <w:basedOn w:val="Normal"/>
    <w:link w:val="Heading10"/>
    <w:pPr>
      <w:spacing w:line="276" w:lineRule="auto"/>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styleId="NormalWeb">
    <w:name w:val="Normal (Web)"/>
    <w:basedOn w:val="Normal"/>
    <w:uiPriority w:val="99"/>
    <w:semiHidden/>
    <w:unhideWhenUsed/>
    <w:rsid w:val="00E33FAA"/>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Zath3umpjAmV2UOG3RZJiAufyg==">CgMxLjA4AHIhMS0xNFJsNjNVZDBzemtRdE5oT3ZCWnBLM2E4akZ5SHpp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937</Words>
  <Characters>4865</Characters>
  <Application>Microsoft Office Word</Application>
  <DocSecurity>0</DocSecurity>
  <Lines>81</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10</cp:revision>
  <dcterms:created xsi:type="dcterms:W3CDTF">2024-05-23T03:24:00Z</dcterms:created>
  <dcterms:modified xsi:type="dcterms:W3CDTF">2024-05-24T00:12:00Z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c8c86de97fc21397126b7e8724eb518a8246d8a6a469cd0ceea3b84b99314bda</vt:lpwstr>
  </property>
</Properties>
</file>