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7C0F" w14:textId="77777777" w:rsidR="00C660B5" w:rsidRPr="00232144" w:rsidRDefault="00512124" w:rsidP="001A174C">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232144">
        <w:rPr>
          <w:rFonts w:ascii="Arial" w:hAnsi="Arial" w:cs="Arial"/>
          <w:b/>
          <w:bCs/>
          <w:color w:val="010000"/>
          <w:sz w:val="20"/>
        </w:rPr>
        <w:t>LPB123016:</w:t>
      </w:r>
      <w:r w:rsidRPr="00232144">
        <w:rPr>
          <w:rFonts w:ascii="Arial" w:hAnsi="Arial" w:cs="Arial"/>
          <w:b/>
          <w:color w:val="010000"/>
          <w:sz w:val="20"/>
        </w:rPr>
        <w:t xml:space="preserve"> Board Resolution</w:t>
      </w:r>
    </w:p>
    <w:p w14:paraId="166A19AD" w14:textId="77777777" w:rsidR="00C660B5" w:rsidRPr="00232144" w:rsidRDefault="00512124" w:rsidP="001A174C">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On May 20, 2024, </w:t>
      </w:r>
      <w:proofErr w:type="spellStart"/>
      <w:r w:rsidRPr="00232144">
        <w:rPr>
          <w:rFonts w:ascii="Arial" w:hAnsi="Arial" w:cs="Arial"/>
          <w:color w:val="010000"/>
          <w:sz w:val="20"/>
        </w:rPr>
        <w:t>LienViet</w:t>
      </w:r>
      <w:proofErr w:type="spellEnd"/>
      <w:r w:rsidRPr="00232144">
        <w:rPr>
          <w:rFonts w:ascii="Arial" w:hAnsi="Arial" w:cs="Arial"/>
          <w:color w:val="010000"/>
          <w:sz w:val="20"/>
        </w:rPr>
        <w:t xml:space="preserve"> Post Joint Stock Commercial Bank </w:t>
      </w:r>
      <w:proofErr w:type="gramStart"/>
      <w:r w:rsidRPr="00232144">
        <w:rPr>
          <w:rFonts w:ascii="Arial" w:hAnsi="Arial" w:cs="Arial"/>
          <w:color w:val="010000"/>
          <w:sz w:val="20"/>
        </w:rPr>
        <w:t>announced</w:t>
      </w:r>
      <w:proofErr w:type="gramEnd"/>
      <w:r w:rsidRPr="00232144">
        <w:rPr>
          <w:rFonts w:ascii="Arial" w:hAnsi="Arial" w:cs="Arial"/>
          <w:color w:val="010000"/>
          <w:sz w:val="20"/>
        </w:rPr>
        <w:t xml:space="preserve"> Resolution No. 1520/2024/NQ-HDQT on approving the dossier requesting agreement on the public offering for existing shareholders as follows:</w:t>
      </w:r>
    </w:p>
    <w:p w14:paraId="7F67CD9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‎‎Article 1. Approve some business activities targets 2024 at the attached Appendix 1; approve contents and categories of </w:t>
      </w:r>
      <w:r w:rsidR="00F7679E" w:rsidRPr="00232144">
        <w:rPr>
          <w:rFonts w:ascii="Arial" w:hAnsi="Arial" w:cs="Arial"/>
          <w:color w:val="010000"/>
          <w:sz w:val="20"/>
        </w:rPr>
        <w:t xml:space="preserve">the </w:t>
      </w:r>
      <w:r w:rsidRPr="00232144">
        <w:rPr>
          <w:rFonts w:ascii="Arial" w:hAnsi="Arial" w:cs="Arial"/>
          <w:color w:val="010000"/>
          <w:sz w:val="20"/>
        </w:rPr>
        <w:t>dossier requesting agreement on the public offering for existing shareholders in accordance with the attached Appendix 2.</w:t>
      </w:r>
    </w:p>
    <w:p w14:paraId="4C4758EC"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‎‎Article 2. The Board of Directors authorizes and assigns the General Manager to</w:t>
      </w:r>
    </w:p>
    <w:p w14:paraId="682B36C4" w14:textId="77777777" w:rsidR="00C660B5" w:rsidRPr="00232144" w:rsidRDefault="00512124" w:rsidP="001A174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32144">
        <w:rPr>
          <w:rFonts w:ascii="Arial" w:hAnsi="Arial" w:cs="Arial"/>
          <w:color w:val="010000"/>
          <w:sz w:val="20"/>
        </w:rPr>
        <w:t>Decide on contents, edit, supplement and sign docum</w:t>
      </w:r>
      <w:bookmarkStart w:id="0" w:name="_GoBack"/>
      <w:bookmarkEnd w:id="0"/>
      <w:r w:rsidRPr="00232144">
        <w:rPr>
          <w:rFonts w:ascii="Arial" w:hAnsi="Arial" w:cs="Arial"/>
          <w:color w:val="010000"/>
          <w:sz w:val="20"/>
        </w:rPr>
        <w:t>ents to complete dossiers and send them to state management agencies and relevant units (State Securities Commission, State Bank of Vietnam, Vietnam Securities Depository and Clearing Corporation,</w:t>
      </w:r>
      <w:r w:rsidR="004957C2" w:rsidRPr="00232144">
        <w:rPr>
          <w:rFonts w:ascii="Arial" w:hAnsi="Arial" w:cs="Arial"/>
          <w:color w:val="010000"/>
          <w:sz w:val="20"/>
        </w:rPr>
        <w:t xml:space="preserve"> </w:t>
      </w:r>
      <w:r w:rsidRPr="00232144">
        <w:rPr>
          <w:rFonts w:ascii="Arial" w:hAnsi="Arial" w:cs="Arial"/>
          <w:color w:val="010000"/>
          <w:sz w:val="20"/>
        </w:rPr>
        <w:t>Stock Exchange</w:t>
      </w:r>
      <w:r w:rsidR="00F7679E" w:rsidRPr="00232144">
        <w:rPr>
          <w:rFonts w:ascii="Arial" w:hAnsi="Arial" w:cs="Arial"/>
          <w:color w:val="010000"/>
          <w:sz w:val="20"/>
        </w:rPr>
        <w:t>, etc.</w:t>
      </w:r>
      <w:r w:rsidRPr="00232144">
        <w:rPr>
          <w:rFonts w:ascii="Arial" w:hAnsi="Arial" w:cs="Arial"/>
          <w:color w:val="010000"/>
          <w:sz w:val="20"/>
        </w:rPr>
        <w:t xml:space="preserve">) carry out procedures for capital increase and after capital increase in accordance with the provisions of law and </w:t>
      </w:r>
      <w:proofErr w:type="spellStart"/>
      <w:r w:rsidR="00F7679E" w:rsidRPr="00232144">
        <w:rPr>
          <w:rFonts w:ascii="Arial" w:hAnsi="Arial" w:cs="Arial"/>
          <w:color w:val="010000"/>
          <w:sz w:val="20"/>
        </w:rPr>
        <w:t>LienViet</w:t>
      </w:r>
      <w:proofErr w:type="spellEnd"/>
      <w:r w:rsidR="00F7679E" w:rsidRPr="00232144">
        <w:rPr>
          <w:rFonts w:ascii="Arial" w:hAnsi="Arial" w:cs="Arial"/>
          <w:color w:val="010000"/>
          <w:sz w:val="20"/>
        </w:rPr>
        <w:t xml:space="preserve"> Post Joint Stock Commercial Bank</w:t>
      </w:r>
      <w:r w:rsidRPr="00232144">
        <w:rPr>
          <w:rFonts w:ascii="Arial" w:hAnsi="Arial" w:cs="Arial"/>
          <w:color w:val="010000"/>
          <w:sz w:val="20"/>
        </w:rPr>
        <w:t>.</w:t>
      </w:r>
    </w:p>
    <w:p w14:paraId="5CE0DFA8" w14:textId="61F52045" w:rsidR="00C660B5" w:rsidRPr="00232144" w:rsidRDefault="00512124" w:rsidP="001A174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32144">
        <w:rPr>
          <w:rFonts w:ascii="Arial" w:hAnsi="Arial" w:cs="Arial"/>
          <w:color w:val="010000"/>
          <w:sz w:val="20"/>
        </w:rPr>
        <w:t xml:space="preserve">Direct relevant units and individuals: Implement </w:t>
      </w:r>
      <w:r w:rsidR="00F7679E" w:rsidRPr="00232144">
        <w:rPr>
          <w:rFonts w:ascii="Arial" w:hAnsi="Arial" w:cs="Arial"/>
          <w:color w:val="010000"/>
          <w:sz w:val="20"/>
        </w:rPr>
        <w:t>plan</w:t>
      </w:r>
      <w:r w:rsidRPr="00232144">
        <w:rPr>
          <w:rFonts w:ascii="Arial" w:hAnsi="Arial" w:cs="Arial"/>
          <w:color w:val="010000"/>
          <w:sz w:val="20"/>
        </w:rPr>
        <w:t xml:space="preserve"> on public offering for existing shareholders approved by the Annual General Meeting of Shareholders 2024 in accordance with the provisions of law and </w:t>
      </w:r>
      <w:proofErr w:type="spellStart"/>
      <w:r w:rsidR="00F7679E" w:rsidRPr="00232144">
        <w:rPr>
          <w:rFonts w:ascii="Arial" w:hAnsi="Arial" w:cs="Arial"/>
          <w:color w:val="010000"/>
          <w:sz w:val="20"/>
        </w:rPr>
        <w:t>LienViet</w:t>
      </w:r>
      <w:proofErr w:type="spellEnd"/>
      <w:r w:rsidR="00F7679E" w:rsidRPr="00232144">
        <w:rPr>
          <w:rFonts w:ascii="Arial" w:hAnsi="Arial" w:cs="Arial"/>
          <w:color w:val="010000"/>
          <w:sz w:val="20"/>
        </w:rPr>
        <w:t xml:space="preserve"> Post Joint Stock Commercial Bank</w:t>
      </w:r>
      <w:r w:rsidRPr="00232144">
        <w:rPr>
          <w:rFonts w:ascii="Arial" w:hAnsi="Arial" w:cs="Arial"/>
          <w:color w:val="010000"/>
          <w:sz w:val="20"/>
        </w:rPr>
        <w:t xml:space="preserve">’s regulations. </w:t>
      </w:r>
    </w:p>
    <w:p w14:paraId="39F123CC" w14:textId="13E3DC26" w:rsidR="00C660B5" w:rsidRPr="00232144" w:rsidRDefault="00512124" w:rsidP="001A174C">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232144">
        <w:rPr>
          <w:rFonts w:ascii="Arial" w:hAnsi="Arial" w:cs="Arial"/>
          <w:color w:val="010000"/>
          <w:sz w:val="20"/>
        </w:rPr>
        <w:t>‎‎Article 3. This Resolution takes effect from the date of its signing. The General M</w:t>
      </w:r>
      <w:r w:rsidR="00F7679E" w:rsidRPr="00232144">
        <w:rPr>
          <w:rFonts w:ascii="Arial" w:hAnsi="Arial" w:cs="Arial"/>
          <w:color w:val="010000"/>
          <w:sz w:val="20"/>
        </w:rPr>
        <w:t>anager, the Board of Directors’</w:t>
      </w:r>
      <w:r w:rsidRPr="00232144">
        <w:rPr>
          <w:rFonts w:ascii="Arial" w:hAnsi="Arial" w:cs="Arial"/>
          <w:color w:val="010000"/>
          <w:sz w:val="20"/>
        </w:rPr>
        <w:t xml:space="preserve"> office and affiliated units, individuals take responsibility for implementing </w:t>
      </w:r>
      <w:r w:rsidR="00F7679E" w:rsidRPr="00232144">
        <w:rPr>
          <w:rFonts w:ascii="Arial" w:hAnsi="Arial" w:cs="Arial"/>
          <w:color w:val="010000"/>
          <w:sz w:val="20"/>
        </w:rPr>
        <w:t>in accordance with</w:t>
      </w:r>
      <w:r w:rsidRPr="00232144">
        <w:rPr>
          <w:rFonts w:ascii="Arial" w:hAnsi="Arial" w:cs="Arial"/>
          <w:color w:val="010000"/>
          <w:sz w:val="20"/>
        </w:rPr>
        <w:t xml:space="preserve"> the provisions of law and </w:t>
      </w:r>
      <w:proofErr w:type="spellStart"/>
      <w:r w:rsidR="00F7679E" w:rsidRPr="00232144">
        <w:rPr>
          <w:rFonts w:ascii="Arial" w:hAnsi="Arial" w:cs="Arial"/>
          <w:color w:val="010000"/>
          <w:sz w:val="20"/>
        </w:rPr>
        <w:t>LienViet</w:t>
      </w:r>
      <w:proofErr w:type="spellEnd"/>
      <w:r w:rsidR="00F7679E" w:rsidRPr="00232144">
        <w:rPr>
          <w:rFonts w:ascii="Arial" w:hAnsi="Arial" w:cs="Arial"/>
          <w:color w:val="010000"/>
          <w:sz w:val="20"/>
        </w:rPr>
        <w:t xml:space="preserve"> Post Joint Stock Commercial Bank</w:t>
      </w:r>
      <w:r w:rsidRPr="00232144">
        <w:rPr>
          <w:rFonts w:ascii="Arial" w:hAnsi="Arial" w:cs="Arial"/>
          <w:color w:val="010000"/>
          <w:sz w:val="20"/>
        </w:rPr>
        <w:t>.</w:t>
      </w:r>
    </w:p>
    <w:p w14:paraId="2781528E" w14:textId="77777777" w:rsidR="00232144" w:rsidRPr="00232144" w:rsidRDefault="00232144" w:rsidP="001A174C">
      <w:pPr>
        <w:pBdr>
          <w:top w:val="nil"/>
          <w:left w:val="nil"/>
          <w:bottom w:val="nil"/>
          <w:right w:val="nil"/>
          <w:between w:val="nil"/>
        </w:pBdr>
        <w:tabs>
          <w:tab w:val="left" w:pos="432"/>
        </w:tabs>
        <w:spacing w:after="120" w:line="360" w:lineRule="auto"/>
        <w:jc w:val="both"/>
        <w:rPr>
          <w:rFonts w:ascii="Arial" w:hAnsi="Arial" w:cs="Arial"/>
          <w:color w:val="010000"/>
          <w:sz w:val="20"/>
        </w:rPr>
      </w:pPr>
    </w:p>
    <w:p w14:paraId="0BEB0E23" w14:textId="77777777" w:rsidR="00C660B5" w:rsidRPr="00232144" w:rsidRDefault="00512124" w:rsidP="001A174C">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APPENDIX 1</w:t>
      </w:r>
    </w:p>
    <w:tbl>
      <w:tblPr>
        <w:tblStyle w:val="a"/>
        <w:tblW w:w="5000" w:type="pct"/>
        <w:tblLook w:val="0000" w:firstRow="0" w:lastRow="0" w:firstColumn="0" w:lastColumn="0" w:noHBand="0" w:noVBand="0"/>
      </w:tblPr>
      <w:tblGrid>
        <w:gridCol w:w="3964"/>
        <w:gridCol w:w="2128"/>
        <w:gridCol w:w="2925"/>
      </w:tblGrid>
      <w:tr w:rsidR="00C660B5" w:rsidRPr="00232144" w14:paraId="21D0B3FA" w14:textId="77777777" w:rsidTr="00232144">
        <w:tc>
          <w:tcPr>
            <w:tcW w:w="2198" w:type="pct"/>
            <w:vMerge w:val="restart"/>
            <w:tcBorders>
              <w:top w:val="single" w:sz="4" w:space="0" w:color="000000"/>
              <w:left w:val="single" w:sz="4" w:space="0" w:color="000000"/>
            </w:tcBorders>
            <w:shd w:val="clear" w:color="auto" w:fill="auto"/>
            <w:tcMar>
              <w:top w:w="0" w:type="dxa"/>
              <w:bottom w:w="0" w:type="dxa"/>
            </w:tcMar>
            <w:vAlign w:val="center"/>
          </w:tcPr>
          <w:p w14:paraId="538A0B30"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Targets</w:t>
            </w:r>
          </w:p>
        </w:tc>
        <w:tc>
          <w:tcPr>
            <w:tcW w:w="2802"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71DC0C4C"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In 2024</w:t>
            </w:r>
          </w:p>
        </w:tc>
      </w:tr>
      <w:tr w:rsidR="00C660B5" w:rsidRPr="00232144" w14:paraId="06F4FB6A" w14:textId="77777777" w:rsidTr="00232144">
        <w:tc>
          <w:tcPr>
            <w:tcW w:w="2198" w:type="pct"/>
            <w:vMerge/>
            <w:tcBorders>
              <w:top w:val="single" w:sz="4" w:space="0" w:color="000000"/>
              <w:left w:val="single" w:sz="4" w:space="0" w:color="000000"/>
            </w:tcBorders>
            <w:shd w:val="clear" w:color="auto" w:fill="auto"/>
            <w:tcMar>
              <w:top w:w="0" w:type="dxa"/>
              <w:bottom w:w="0" w:type="dxa"/>
            </w:tcMar>
            <w:vAlign w:val="center"/>
          </w:tcPr>
          <w:p w14:paraId="5E9534BE" w14:textId="77777777" w:rsidR="00C660B5" w:rsidRPr="00232144" w:rsidRDefault="00C660B5" w:rsidP="001A174C">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1180" w:type="pct"/>
            <w:tcBorders>
              <w:top w:val="single" w:sz="4" w:space="0" w:color="000000"/>
              <w:left w:val="single" w:sz="4" w:space="0" w:color="000000"/>
            </w:tcBorders>
            <w:shd w:val="clear" w:color="auto" w:fill="auto"/>
            <w:tcMar>
              <w:top w:w="0" w:type="dxa"/>
              <w:bottom w:w="0" w:type="dxa"/>
            </w:tcMar>
            <w:vAlign w:val="center"/>
          </w:tcPr>
          <w:p w14:paraId="1D153C56"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Plan (billion VND/(%))</w:t>
            </w:r>
          </w:p>
        </w:tc>
        <w:tc>
          <w:tcPr>
            <w:tcW w:w="1622"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2B86484" w14:textId="77777777" w:rsidR="00C660B5" w:rsidRPr="00232144" w:rsidRDefault="00F7679E"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Increase or </w:t>
            </w:r>
            <w:r w:rsidR="00512124" w:rsidRPr="00232144">
              <w:rPr>
                <w:rFonts w:ascii="Arial" w:hAnsi="Arial" w:cs="Arial"/>
                <w:color w:val="010000"/>
                <w:sz w:val="20"/>
              </w:rPr>
              <w:t xml:space="preserve">decrease compared to </w:t>
            </w:r>
            <w:r w:rsidRPr="00232144">
              <w:rPr>
                <w:rFonts w:ascii="Arial" w:hAnsi="Arial" w:cs="Arial"/>
                <w:color w:val="010000"/>
                <w:sz w:val="20"/>
              </w:rPr>
              <w:t xml:space="preserve">the previous </w:t>
            </w:r>
            <w:r w:rsidR="00512124" w:rsidRPr="00232144">
              <w:rPr>
                <w:rFonts w:ascii="Arial" w:hAnsi="Arial" w:cs="Arial"/>
                <w:color w:val="010000"/>
                <w:sz w:val="20"/>
              </w:rPr>
              <w:t>year</w:t>
            </w:r>
            <w:r w:rsidRPr="00232144">
              <w:rPr>
                <w:rFonts w:ascii="Arial" w:hAnsi="Arial" w:cs="Arial"/>
                <w:color w:val="010000"/>
                <w:sz w:val="20"/>
              </w:rPr>
              <w:t xml:space="preserve"> (%)</w:t>
            </w:r>
          </w:p>
        </w:tc>
      </w:tr>
      <w:tr w:rsidR="00C660B5" w:rsidRPr="00232144" w14:paraId="7534BF1A" w14:textId="77777777" w:rsidTr="00232144">
        <w:tc>
          <w:tcPr>
            <w:tcW w:w="2198" w:type="pct"/>
            <w:tcBorders>
              <w:top w:val="single" w:sz="4" w:space="0" w:color="000000"/>
              <w:left w:val="single" w:sz="4" w:space="0" w:color="000000"/>
            </w:tcBorders>
            <w:shd w:val="clear" w:color="auto" w:fill="auto"/>
            <w:tcMar>
              <w:top w:w="0" w:type="dxa"/>
              <w:bottom w:w="0" w:type="dxa"/>
            </w:tcMar>
            <w:vAlign w:val="center"/>
          </w:tcPr>
          <w:p w14:paraId="7F5DD4B7"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Net interest income</w:t>
            </w:r>
          </w:p>
        </w:tc>
        <w:tc>
          <w:tcPr>
            <w:tcW w:w="1180" w:type="pct"/>
            <w:tcBorders>
              <w:top w:val="single" w:sz="4" w:space="0" w:color="000000"/>
              <w:left w:val="single" w:sz="4" w:space="0" w:color="000000"/>
            </w:tcBorders>
            <w:shd w:val="clear" w:color="auto" w:fill="auto"/>
            <w:tcMar>
              <w:top w:w="0" w:type="dxa"/>
              <w:bottom w:w="0" w:type="dxa"/>
            </w:tcMar>
            <w:vAlign w:val="center"/>
          </w:tcPr>
          <w:p w14:paraId="4DB66E0F"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15,741</w:t>
            </w:r>
          </w:p>
        </w:tc>
        <w:tc>
          <w:tcPr>
            <w:tcW w:w="1622"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AA91FC5"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41%</w:t>
            </w:r>
          </w:p>
        </w:tc>
      </w:tr>
      <w:tr w:rsidR="00C660B5" w:rsidRPr="00232144" w14:paraId="178D5DD3" w14:textId="77777777" w:rsidTr="00232144">
        <w:tc>
          <w:tcPr>
            <w:tcW w:w="2198" w:type="pct"/>
            <w:tcBorders>
              <w:top w:val="single" w:sz="4" w:space="0" w:color="000000"/>
              <w:left w:val="single" w:sz="4" w:space="0" w:color="000000"/>
            </w:tcBorders>
            <w:shd w:val="clear" w:color="auto" w:fill="auto"/>
            <w:tcMar>
              <w:top w:w="0" w:type="dxa"/>
              <w:bottom w:w="0" w:type="dxa"/>
            </w:tcMar>
            <w:vAlign w:val="center"/>
          </w:tcPr>
          <w:p w14:paraId="03942FED"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Profit before tax</w:t>
            </w:r>
          </w:p>
        </w:tc>
        <w:tc>
          <w:tcPr>
            <w:tcW w:w="1180" w:type="pct"/>
            <w:tcBorders>
              <w:top w:val="single" w:sz="4" w:space="0" w:color="000000"/>
              <w:left w:val="single" w:sz="4" w:space="0" w:color="000000"/>
            </w:tcBorders>
            <w:shd w:val="clear" w:color="auto" w:fill="auto"/>
            <w:tcMar>
              <w:top w:w="0" w:type="dxa"/>
              <w:bottom w:w="0" w:type="dxa"/>
            </w:tcMar>
            <w:vAlign w:val="center"/>
          </w:tcPr>
          <w:p w14:paraId="66FF44BA"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10,500</w:t>
            </w:r>
          </w:p>
        </w:tc>
        <w:tc>
          <w:tcPr>
            <w:tcW w:w="1622"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9FC852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49%</w:t>
            </w:r>
          </w:p>
        </w:tc>
      </w:tr>
      <w:tr w:rsidR="00C660B5" w:rsidRPr="00232144" w14:paraId="0965348F" w14:textId="77777777" w:rsidTr="00232144">
        <w:tc>
          <w:tcPr>
            <w:tcW w:w="2198" w:type="pct"/>
            <w:tcBorders>
              <w:top w:val="single" w:sz="4" w:space="0" w:color="000000"/>
              <w:left w:val="single" w:sz="4" w:space="0" w:color="000000"/>
            </w:tcBorders>
            <w:shd w:val="clear" w:color="auto" w:fill="auto"/>
            <w:tcMar>
              <w:top w:w="0" w:type="dxa"/>
              <w:bottom w:w="0" w:type="dxa"/>
            </w:tcMar>
            <w:vAlign w:val="center"/>
          </w:tcPr>
          <w:p w14:paraId="255518A8"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Profit after tax</w:t>
            </w:r>
          </w:p>
        </w:tc>
        <w:tc>
          <w:tcPr>
            <w:tcW w:w="1180" w:type="pct"/>
            <w:tcBorders>
              <w:top w:val="single" w:sz="4" w:space="0" w:color="000000"/>
              <w:left w:val="single" w:sz="4" w:space="0" w:color="000000"/>
            </w:tcBorders>
            <w:shd w:val="clear" w:color="auto" w:fill="auto"/>
            <w:tcMar>
              <w:top w:w="0" w:type="dxa"/>
              <w:bottom w:w="0" w:type="dxa"/>
            </w:tcMar>
            <w:vAlign w:val="center"/>
          </w:tcPr>
          <w:p w14:paraId="4C9FB6ED"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8,295</w:t>
            </w:r>
          </w:p>
        </w:tc>
        <w:tc>
          <w:tcPr>
            <w:tcW w:w="1622"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6399065"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49%</w:t>
            </w:r>
          </w:p>
        </w:tc>
      </w:tr>
      <w:tr w:rsidR="00C660B5" w:rsidRPr="00232144" w14:paraId="59C54BA6" w14:textId="77777777" w:rsidTr="00232144">
        <w:tc>
          <w:tcPr>
            <w:tcW w:w="2198" w:type="pct"/>
            <w:tcBorders>
              <w:top w:val="single" w:sz="4" w:space="0" w:color="000000"/>
              <w:left w:val="single" w:sz="4" w:space="0" w:color="000000"/>
            </w:tcBorders>
            <w:shd w:val="clear" w:color="auto" w:fill="auto"/>
            <w:tcMar>
              <w:top w:w="0" w:type="dxa"/>
              <w:bottom w:w="0" w:type="dxa"/>
            </w:tcMar>
            <w:vAlign w:val="center"/>
          </w:tcPr>
          <w:p w14:paraId="0A9DF877"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Profit after tax/Net interest income rate</w:t>
            </w:r>
          </w:p>
        </w:tc>
        <w:tc>
          <w:tcPr>
            <w:tcW w:w="1180" w:type="pct"/>
            <w:tcBorders>
              <w:top w:val="single" w:sz="4" w:space="0" w:color="000000"/>
              <w:left w:val="single" w:sz="4" w:space="0" w:color="000000"/>
            </w:tcBorders>
            <w:shd w:val="clear" w:color="auto" w:fill="auto"/>
            <w:tcMar>
              <w:top w:w="0" w:type="dxa"/>
              <w:bottom w:w="0" w:type="dxa"/>
            </w:tcMar>
            <w:vAlign w:val="center"/>
          </w:tcPr>
          <w:p w14:paraId="6951AEA4"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52.70%</w:t>
            </w:r>
          </w:p>
        </w:tc>
        <w:tc>
          <w:tcPr>
            <w:tcW w:w="1622"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DA5B95E"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3.0%</w:t>
            </w:r>
          </w:p>
        </w:tc>
      </w:tr>
      <w:tr w:rsidR="00C660B5" w:rsidRPr="00232144" w14:paraId="71C7C25A" w14:textId="77777777" w:rsidTr="00232144">
        <w:tc>
          <w:tcPr>
            <w:tcW w:w="2198" w:type="pct"/>
            <w:tcBorders>
              <w:top w:val="single" w:sz="4" w:space="0" w:color="000000"/>
              <w:left w:val="single" w:sz="4" w:space="0" w:color="000000"/>
            </w:tcBorders>
            <w:shd w:val="clear" w:color="auto" w:fill="auto"/>
            <w:tcMar>
              <w:top w:w="0" w:type="dxa"/>
              <w:bottom w:w="0" w:type="dxa"/>
            </w:tcMar>
            <w:vAlign w:val="center"/>
          </w:tcPr>
          <w:p w14:paraId="00F40CEE"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Profit after tax/average owners’ equity rate</w:t>
            </w:r>
          </w:p>
        </w:tc>
        <w:tc>
          <w:tcPr>
            <w:tcW w:w="1180" w:type="pct"/>
            <w:tcBorders>
              <w:top w:val="single" w:sz="4" w:space="0" w:color="000000"/>
              <w:left w:val="single" w:sz="4" w:space="0" w:color="000000"/>
            </w:tcBorders>
            <w:shd w:val="clear" w:color="auto" w:fill="auto"/>
            <w:tcMar>
              <w:top w:w="0" w:type="dxa"/>
              <w:bottom w:w="0" w:type="dxa"/>
            </w:tcMar>
            <w:vAlign w:val="center"/>
          </w:tcPr>
          <w:p w14:paraId="2DA0AFF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19.95%</w:t>
            </w:r>
          </w:p>
        </w:tc>
        <w:tc>
          <w:tcPr>
            <w:tcW w:w="1622"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88BAF11"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0.8%</w:t>
            </w:r>
          </w:p>
        </w:tc>
      </w:tr>
      <w:tr w:rsidR="00C660B5" w:rsidRPr="00232144" w14:paraId="3E5B1E1E" w14:textId="77777777" w:rsidTr="00232144">
        <w:tc>
          <w:tcPr>
            <w:tcW w:w="21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777EE7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Dividend rate</w:t>
            </w:r>
          </w:p>
        </w:tc>
        <w:tc>
          <w:tcPr>
            <w:tcW w:w="11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F0445E3"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0%</w:t>
            </w:r>
          </w:p>
        </w:tc>
        <w:tc>
          <w:tcPr>
            <w:tcW w:w="162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1F9FC92"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-100%</w:t>
            </w:r>
          </w:p>
        </w:tc>
      </w:tr>
    </w:tbl>
    <w:p w14:paraId="66D2094F" w14:textId="77777777" w:rsidR="00232144" w:rsidRPr="00232144" w:rsidRDefault="00232144" w:rsidP="001A174C">
      <w:pPr>
        <w:pBdr>
          <w:left w:val="nil"/>
          <w:bottom w:val="nil"/>
          <w:right w:val="nil"/>
          <w:between w:val="nil"/>
        </w:pBdr>
        <w:tabs>
          <w:tab w:val="left" w:pos="432"/>
        </w:tabs>
        <w:spacing w:after="120" w:line="360" w:lineRule="auto"/>
        <w:jc w:val="both"/>
        <w:rPr>
          <w:rFonts w:ascii="Arial" w:hAnsi="Arial" w:cs="Arial"/>
          <w:color w:val="010000"/>
          <w:sz w:val="20"/>
        </w:rPr>
      </w:pPr>
    </w:p>
    <w:p w14:paraId="226B026A" w14:textId="77777777" w:rsidR="00232144" w:rsidRPr="00232144" w:rsidRDefault="00232144" w:rsidP="001A174C">
      <w:pPr>
        <w:jc w:val="both"/>
        <w:rPr>
          <w:rFonts w:ascii="Arial" w:hAnsi="Arial" w:cs="Arial"/>
          <w:color w:val="010000"/>
          <w:sz w:val="20"/>
        </w:rPr>
      </w:pPr>
      <w:r w:rsidRPr="00232144">
        <w:rPr>
          <w:rFonts w:ascii="Arial" w:hAnsi="Arial" w:cs="Arial"/>
          <w:color w:val="010000"/>
          <w:sz w:val="20"/>
        </w:rPr>
        <w:br w:type="page"/>
      </w:r>
    </w:p>
    <w:p w14:paraId="529DF7B0" w14:textId="22BC0726" w:rsidR="00C660B5" w:rsidRPr="00232144" w:rsidRDefault="00512124" w:rsidP="001A174C">
      <w:pPr>
        <w:pBdr>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lastRenderedPageBreak/>
        <w:t>APPENDIX 2</w:t>
      </w:r>
    </w:p>
    <w:p w14:paraId="11340AA9" w14:textId="4D8E8994" w:rsidR="00C660B5" w:rsidRPr="00232144" w:rsidRDefault="00F7679E"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LIST </w:t>
      </w:r>
      <w:r w:rsidR="00512124" w:rsidRPr="00232144">
        <w:rPr>
          <w:rFonts w:ascii="Arial" w:hAnsi="Arial" w:cs="Arial"/>
          <w:color w:val="010000"/>
          <w:sz w:val="20"/>
        </w:rPr>
        <w:t>OF REGISTRATION DOSSIER</w:t>
      </w:r>
      <w:r w:rsidRPr="00232144">
        <w:rPr>
          <w:rFonts w:ascii="Arial" w:hAnsi="Arial" w:cs="Arial"/>
          <w:color w:val="010000"/>
          <w:sz w:val="20"/>
        </w:rPr>
        <w:t>S</w:t>
      </w:r>
      <w:r w:rsidR="00512124" w:rsidRPr="00232144">
        <w:rPr>
          <w:rFonts w:ascii="Arial" w:hAnsi="Arial" w:cs="Arial"/>
          <w:color w:val="010000"/>
          <w:sz w:val="20"/>
        </w:rPr>
        <w:t xml:space="preserve"> </w:t>
      </w:r>
      <w:r w:rsidR="00232144" w:rsidRPr="00232144">
        <w:rPr>
          <w:rFonts w:ascii="Arial" w:hAnsi="Arial" w:cs="Arial"/>
          <w:color w:val="010000"/>
          <w:sz w:val="20"/>
        </w:rPr>
        <w:t>FOR</w:t>
      </w:r>
      <w:r w:rsidR="00512124" w:rsidRPr="00232144">
        <w:rPr>
          <w:rFonts w:ascii="Arial" w:hAnsi="Arial" w:cs="Arial"/>
          <w:color w:val="010000"/>
          <w:sz w:val="20"/>
        </w:rPr>
        <w:t xml:space="preserve"> ADDITIONAL PUBLIC OFFERING FOR EXISTING SHAREHOLDERS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7"/>
        <w:gridCol w:w="8350"/>
      </w:tblGrid>
      <w:tr w:rsidR="00C660B5" w:rsidRPr="00232144" w14:paraId="1A7CF6B3" w14:textId="77777777" w:rsidTr="00232144">
        <w:tc>
          <w:tcPr>
            <w:tcW w:w="370" w:type="pct"/>
            <w:shd w:val="clear" w:color="auto" w:fill="auto"/>
            <w:tcMar>
              <w:top w:w="0" w:type="dxa"/>
              <w:bottom w:w="0" w:type="dxa"/>
            </w:tcMar>
            <w:vAlign w:val="center"/>
          </w:tcPr>
          <w:p w14:paraId="1489A234"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No.</w:t>
            </w:r>
          </w:p>
        </w:tc>
        <w:tc>
          <w:tcPr>
            <w:tcW w:w="4630" w:type="pct"/>
            <w:shd w:val="clear" w:color="auto" w:fill="auto"/>
            <w:tcMar>
              <w:top w:w="0" w:type="dxa"/>
              <w:bottom w:w="0" w:type="dxa"/>
            </w:tcMar>
            <w:vAlign w:val="center"/>
          </w:tcPr>
          <w:p w14:paraId="7F207031"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Name of the dossier</w:t>
            </w:r>
          </w:p>
        </w:tc>
      </w:tr>
      <w:tr w:rsidR="00C660B5" w:rsidRPr="00232144" w14:paraId="33D5CCC8" w14:textId="77777777" w:rsidTr="00232144">
        <w:tc>
          <w:tcPr>
            <w:tcW w:w="370" w:type="pct"/>
            <w:shd w:val="clear" w:color="auto" w:fill="auto"/>
            <w:tcMar>
              <w:top w:w="0" w:type="dxa"/>
              <w:bottom w:w="0" w:type="dxa"/>
            </w:tcMar>
            <w:vAlign w:val="center"/>
          </w:tcPr>
          <w:p w14:paraId="4710DDE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w:t>
            </w:r>
          </w:p>
        </w:tc>
        <w:tc>
          <w:tcPr>
            <w:tcW w:w="4630" w:type="pct"/>
            <w:shd w:val="clear" w:color="auto" w:fill="auto"/>
            <w:tcMar>
              <w:top w:w="0" w:type="dxa"/>
              <w:bottom w:w="0" w:type="dxa"/>
            </w:tcMar>
            <w:vAlign w:val="center"/>
          </w:tcPr>
          <w:p w14:paraId="6D1E05EA"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Registration certificate on additional public offering No. 13433/2024/</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dated May 20, 2024.</w:t>
            </w:r>
          </w:p>
        </w:tc>
      </w:tr>
      <w:tr w:rsidR="00C660B5" w:rsidRPr="00232144" w14:paraId="2B9BA68E" w14:textId="77777777" w:rsidTr="00232144">
        <w:tc>
          <w:tcPr>
            <w:tcW w:w="370" w:type="pct"/>
            <w:shd w:val="clear" w:color="auto" w:fill="auto"/>
            <w:tcMar>
              <w:top w:w="0" w:type="dxa"/>
              <w:bottom w:w="0" w:type="dxa"/>
            </w:tcMar>
            <w:vAlign w:val="center"/>
          </w:tcPr>
          <w:p w14:paraId="2C1DE85A"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2</w:t>
            </w:r>
          </w:p>
        </w:tc>
        <w:tc>
          <w:tcPr>
            <w:tcW w:w="4630" w:type="pct"/>
            <w:shd w:val="clear" w:color="auto" w:fill="auto"/>
            <w:tcMar>
              <w:top w:w="0" w:type="dxa"/>
              <w:bottom w:w="0" w:type="dxa"/>
            </w:tcMar>
            <w:vAlign w:val="center"/>
          </w:tcPr>
          <w:p w14:paraId="12679A6B"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Prospectus</w:t>
            </w:r>
          </w:p>
        </w:tc>
      </w:tr>
      <w:tr w:rsidR="00C660B5" w:rsidRPr="00232144" w14:paraId="58C79640" w14:textId="77777777" w:rsidTr="00232144">
        <w:tc>
          <w:tcPr>
            <w:tcW w:w="370" w:type="pct"/>
            <w:shd w:val="clear" w:color="auto" w:fill="auto"/>
            <w:tcMar>
              <w:top w:w="0" w:type="dxa"/>
              <w:bottom w:w="0" w:type="dxa"/>
            </w:tcMar>
            <w:vAlign w:val="center"/>
          </w:tcPr>
          <w:p w14:paraId="0D516B75"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3</w:t>
            </w:r>
          </w:p>
        </w:tc>
        <w:tc>
          <w:tcPr>
            <w:tcW w:w="4630" w:type="pct"/>
            <w:shd w:val="clear" w:color="auto" w:fill="auto"/>
            <w:tcMar>
              <w:top w:w="0" w:type="dxa"/>
              <w:bottom w:w="0" w:type="dxa"/>
            </w:tcMar>
            <w:vAlign w:val="center"/>
          </w:tcPr>
          <w:p w14:paraId="07942121"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License for establishment and operation No. 91/GP - NHNN dated March 28, 2008 issued by the State Bank.</w:t>
            </w:r>
          </w:p>
        </w:tc>
      </w:tr>
      <w:tr w:rsidR="00C660B5" w:rsidRPr="00232144" w14:paraId="6B7E4F05" w14:textId="77777777" w:rsidTr="00232144">
        <w:tc>
          <w:tcPr>
            <w:tcW w:w="370" w:type="pct"/>
            <w:shd w:val="clear" w:color="auto" w:fill="auto"/>
            <w:tcMar>
              <w:top w:w="0" w:type="dxa"/>
              <w:bottom w:w="0" w:type="dxa"/>
            </w:tcMar>
            <w:vAlign w:val="center"/>
          </w:tcPr>
          <w:p w14:paraId="7BDBF5FB"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4</w:t>
            </w:r>
          </w:p>
        </w:tc>
        <w:tc>
          <w:tcPr>
            <w:tcW w:w="4630" w:type="pct"/>
            <w:shd w:val="clear" w:color="auto" w:fill="auto"/>
            <w:tcMar>
              <w:top w:w="0" w:type="dxa"/>
              <w:bottom w:w="0" w:type="dxa"/>
            </w:tcMar>
            <w:vAlign w:val="center"/>
          </w:tcPr>
          <w:p w14:paraId="40788B21"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Decision No. 2486/QD-NHNN dated December 28, 2023 on amendment to contents of </w:t>
            </w:r>
            <w:proofErr w:type="spellStart"/>
            <w:r w:rsidRPr="00232144">
              <w:rPr>
                <w:rFonts w:ascii="Arial" w:hAnsi="Arial" w:cs="Arial"/>
                <w:color w:val="010000"/>
                <w:sz w:val="20"/>
              </w:rPr>
              <w:t>LPBank’s</w:t>
            </w:r>
            <w:proofErr w:type="spellEnd"/>
            <w:r w:rsidRPr="00232144">
              <w:rPr>
                <w:rFonts w:ascii="Arial" w:hAnsi="Arial" w:cs="Arial"/>
                <w:color w:val="010000"/>
                <w:sz w:val="20"/>
              </w:rPr>
              <w:t xml:space="preserve"> license for establishment and operation</w:t>
            </w:r>
          </w:p>
        </w:tc>
      </w:tr>
      <w:tr w:rsidR="00C660B5" w:rsidRPr="00232144" w14:paraId="6F8D9CD6" w14:textId="77777777" w:rsidTr="00232144">
        <w:tc>
          <w:tcPr>
            <w:tcW w:w="370" w:type="pct"/>
            <w:shd w:val="clear" w:color="auto" w:fill="auto"/>
            <w:tcMar>
              <w:top w:w="0" w:type="dxa"/>
              <w:bottom w:w="0" w:type="dxa"/>
            </w:tcMar>
            <w:vAlign w:val="center"/>
          </w:tcPr>
          <w:p w14:paraId="67AA7171"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5</w:t>
            </w:r>
          </w:p>
        </w:tc>
        <w:tc>
          <w:tcPr>
            <w:tcW w:w="4630" w:type="pct"/>
            <w:shd w:val="clear" w:color="auto" w:fill="auto"/>
            <w:tcMar>
              <w:top w:w="0" w:type="dxa"/>
              <w:bottom w:w="0" w:type="dxa"/>
            </w:tcMar>
            <w:vAlign w:val="center"/>
          </w:tcPr>
          <w:p w14:paraId="10CEFB5B"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Business Registration Certificate No. 6403000058 issued for the first time dated April 03, 2008 by the Department of Planning and Investment of </w:t>
            </w:r>
            <w:proofErr w:type="spellStart"/>
            <w:r w:rsidRPr="00232144">
              <w:rPr>
                <w:rFonts w:ascii="Arial" w:hAnsi="Arial" w:cs="Arial"/>
                <w:color w:val="010000"/>
                <w:sz w:val="20"/>
              </w:rPr>
              <w:t>Hau</w:t>
            </w:r>
            <w:proofErr w:type="spellEnd"/>
            <w:r w:rsidRPr="00232144">
              <w:rPr>
                <w:rFonts w:ascii="Arial" w:hAnsi="Arial" w:cs="Arial"/>
                <w:color w:val="010000"/>
                <w:sz w:val="20"/>
              </w:rPr>
              <w:t xml:space="preserve"> Giang province</w:t>
            </w:r>
          </w:p>
        </w:tc>
      </w:tr>
      <w:tr w:rsidR="00C660B5" w:rsidRPr="00232144" w14:paraId="11E72E36" w14:textId="77777777" w:rsidTr="00232144">
        <w:tc>
          <w:tcPr>
            <w:tcW w:w="370" w:type="pct"/>
            <w:shd w:val="clear" w:color="auto" w:fill="auto"/>
            <w:tcMar>
              <w:top w:w="0" w:type="dxa"/>
              <w:bottom w:w="0" w:type="dxa"/>
            </w:tcMar>
            <w:vAlign w:val="center"/>
          </w:tcPr>
          <w:p w14:paraId="26C6A23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6</w:t>
            </w:r>
          </w:p>
        </w:tc>
        <w:tc>
          <w:tcPr>
            <w:tcW w:w="4630" w:type="pct"/>
            <w:shd w:val="clear" w:color="auto" w:fill="auto"/>
            <w:tcMar>
              <w:top w:w="0" w:type="dxa"/>
              <w:bottom w:w="0" w:type="dxa"/>
            </w:tcMar>
            <w:vAlign w:val="center"/>
          </w:tcPr>
          <w:p w14:paraId="2D4A2E83"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Business Registration Certificate No. 6300048638 changed for the 30th time on December 29, 2023.</w:t>
            </w:r>
          </w:p>
        </w:tc>
      </w:tr>
      <w:tr w:rsidR="00C660B5" w:rsidRPr="00232144" w14:paraId="2627AA2E" w14:textId="77777777" w:rsidTr="00232144">
        <w:tc>
          <w:tcPr>
            <w:tcW w:w="370" w:type="pct"/>
            <w:shd w:val="clear" w:color="auto" w:fill="auto"/>
            <w:tcMar>
              <w:top w:w="0" w:type="dxa"/>
              <w:bottom w:w="0" w:type="dxa"/>
            </w:tcMar>
            <w:vAlign w:val="center"/>
          </w:tcPr>
          <w:p w14:paraId="6CE48031"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7</w:t>
            </w:r>
          </w:p>
        </w:tc>
        <w:tc>
          <w:tcPr>
            <w:tcW w:w="4630" w:type="pct"/>
            <w:shd w:val="clear" w:color="auto" w:fill="auto"/>
            <w:tcMar>
              <w:top w:w="0" w:type="dxa"/>
              <w:bottom w:w="0" w:type="dxa"/>
            </w:tcMar>
            <w:vAlign w:val="center"/>
          </w:tcPr>
          <w:p w14:paraId="1516C8F2"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Annual General Mandate dated April 17, 2024, attaches Proposal No. 1089/2024/</w:t>
            </w:r>
            <w:proofErr w:type="spellStart"/>
            <w:r w:rsidRPr="00232144">
              <w:rPr>
                <w:rFonts w:ascii="Arial" w:hAnsi="Arial" w:cs="Arial"/>
                <w:color w:val="010000"/>
                <w:sz w:val="20"/>
              </w:rPr>
              <w:t>TTr</w:t>
            </w:r>
            <w:proofErr w:type="spellEnd"/>
            <w:r w:rsidRPr="00232144">
              <w:rPr>
                <w:rFonts w:ascii="Arial" w:hAnsi="Arial" w:cs="Arial"/>
                <w:color w:val="010000"/>
                <w:sz w:val="20"/>
              </w:rPr>
              <w:t xml:space="preserve">-HDQT dated April 12, 2024 and Plan on increasing charter capital 2024 of </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w:t>
            </w:r>
          </w:p>
        </w:tc>
      </w:tr>
      <w:tr w:rsidR="00C660B5" w:rsidRPr="00232144" w14:paraId="73D295C0" w14:textId="77777777" w:rsidTr="00232144">
        <w:tc>
          <w:tcPr>
            <w:tcW w:w="370" w:type="pct"/>
            <w:shd w:val="clear" w:color="auto" w:fill="auto"/>
            <w:tcMar>
              <w:top w:w="0" w:type="dxa"/>
              <w:bottom w:w="0" w:type="dxa"/>
            </w:tcMar>
            <w:vAlign w:val="center"/>
          </w:tcPr>
          <w:p w14:paraId="5AB87E60"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8</w:t>
            </w:r>
          </w:p>
        </w:tc>
        <w:tc>
          <w:tcPr>
            <w:tcW w:w="4630" w:type="pct"/>
            <w:shd w:val="clear" w:color="auto" w:fill="auto"/>
            <w:tcMar>
              <w:top w:w="0" w:type="dxa"/>
              <w:bottom w:w="0" w:type="dxa"/>
            </w:tcMar>
            <w:vAlign w:val="center"/>
          </w:tcPr>
          <w:p w14:paraId="72D516A4"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Board Resolution No. 1148/2024/NQ-HDQT dated April 23, 2024 of </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on approving the implementation of plan on increasing charter capital 2024. </w:t>
            </w:r>
          </w:p>
        </w:tc>
      </w:tr>
      <w:tr w:rsidR="00C660B5" w:rsidRPr="00232144" w14:paraId="51D5CF33" w14:textId="77777777" w:rsidTr="00232144">
        <w:tc>
          <w:tcPr>
            <w:tcW w:w="370" w:type="pct"/>
            <w:shd w:val="clear" w:color="auto" w:fill="auto"/>
            <w:tcMar>
              <w:top w:w="0" w:type="dxa"/>
              <w:bottom w:w="0" w:type="dxa"/>
            </w:tcMar>
            <w:vAlign w:val="center"/>
          </w:tcPr>
          <w:p w14:paraId="70C7D07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9</w:t>
            </w:r>
          </w:p>
        </w:tc>
        <w:tc>
          <w:tcPr>
            <w:tcW w:w="4630" w:type="pct"/>
            <w:shd w:val="clear" w:color="auto" w:fill="auto"/>
            <w:tcMar>
              <w:top w:w="0" w:type="dxa"/>
              <w:bottom w:w="0" w:type="dxa"/>
            </w:tcMar>
            <w:vAlign w:val="center"/>
          </w:tcPr>
          <w:p w14:paraId="3C959730" w14:textId="7040C33C"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Board Resolution No. 1487/2024/NQ-HDQT dated May 15, 2024 of the </w:t>
            </w:r>
            <w:proofErr w:type="spellStart"/>
            <w:r w:rsidRPr="00232144">
              <w:rPr>
                <w:rFonts w:ascii="Arial" w:hAnsi="Arial" w:cs="Arial"/>
                <w:color w:val="010000"/>
                <w:sz w:val="20"/>
              </w:rPr>
              <w:t>LPBank’s</w:t>
            </w:r>
            <w:proofErr w:type="spellEnd"/>
            <w:r w:rsidRPr="00232144">
              <w:rPr>
                <w:rFonts w:ascii="Arial" w:hAnsi="Arial" w:cs="Arial"/>
                <w:color w:val="010000"/>
                <w:sz w:val="20"/>
              </w:rPr>
              <w:t xml:space="preserve"> Board of Directors on signing a Consulting Contract with </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Securities Joint Stock Company and approving detailed methods on increasing charter capital 2024.</w:t>
            </w:r>
          </w:p>
        </w:tc>
      </w:tr>
      <w:tr w:rsidR="00C660B5" w:rsidRPr="00232144" w14:paraId="33F6B489" w14:textId="77777777" w:rsidTr="00232144">
        <w:tc>
          <w:tcPr>
            <w:tcW w:w="370" w:type="pct"/>
            <w:shd w:val="clear" w:color="auto" w:fill="auto"/>
            <w:tcMar>
              <w:top w:w="0" w:type="dxa"/>
              <w:bottom w:w="0" w:type="dxa"/>
            </w:tcMar>
            <w:vAlign w:val="center"/>
          </w:tcPr>
          <w:p w14:paraId="127AAB4D"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10</w:t>
            </w:r>
          </w:p>
        </w:tc>
        <w:tc>
          <w:tcPr>
            <w:tcW w:w="4630" w:type="pct"/>
            <w:shd w:val="clear" w:color="auto" w:fill="auto"/>
            <w:tcMar>
              <w:top w:w="0" w:type="dxa"/>
              <w:bottom w:w="0" w:type="dxa"/>
            </w:tcMar>
            <w:vAlign w:val="center"/>
          </w:tcPr>
          <w:p w14:paraId="070A5F4D"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Document No. 4068/NHNN-TTGSNH dated May 15, 2024 of the Vietnam State Bank</w:t>
            </w:r>
          </w:p>
        </w:tc>
      </w:tr>
      <w:tr w:rsidR="00C660B5" w:rsidRPr="00232144" w14:paraId="16BC059C" w14:textId="77777777" w:rsidTr="00232144">
        <w:tc>
          <w:tcPr>
            <w:tcW w:w="370" w:type="pct"/>
            <w:shd w:val="clear" w:color="auto" w:fill="auto"/>
            <w:tcMar>
              <w:top w:w="0" w:type="dxa"/>
              <w:bottom w:w="0" w:type="dxa"/>
            </w:tcMar>
            <w:vAlign w:val="center"/>
          </w:tcPr>
          <w:p w14:paraId="1A78C204"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11</w:t>
            </w:r>
          </w:p>
        </w:tc>
        <w:tc>
          <w:tcPr>
            <w:tcW w:w="4630" w:type="pct"/>
            <w:shd w:val="clear" w:color="auto" w:fill="auto"/>
            <w:tcMar>
              <w:top w:w="0" w:type="dxa"/>
              <w:bottom w:w="0" w:type="dxa"/>
            </w:tcMar>
            <w:vAlign w:val="center"/>
          </w:tcPr>
          <w:p w14:paraId="25B7C98E"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The Bank’s Charter dated April 25, 2023; Decision on amendment to Charter No. 521/2024/</w:t>
            </w:r>
            <w:proofErr w:type="spellStart"/>
            <w:r w:rsidRPr="00232144">
              <w:rPr>
                <w:rFonts w:ascii="Arial" w:hAnsi="Arial" w:cs="Arial"/>
                <w:color w:val="010000"/>
                <w:sz w:val="20"/>
              </w:rPr>
              <w:t>LPBank.PC&amp;QLRR</w:t>
            </w:r>
            <w:proofErr w:type="spellEnd"/>
            <w:r w:rsidRPr="00232144">
              <w:rPr>
                <w:rFonts w:ascii="Arial" w:hAnsi="Arial" w:cs="Arial"/>
                <w:color w:val="010000"/>
                <w:sz w:val="20"/>
              </w:rPr>
              <w:t xml:space="preserve"> dated January 05, 2024; Decision No. 21/2023/QD-CT HDQT dated May 29, 2023. </w:t>
            </w:r>
          </w:p>
        </w:tc>
      </w:tr>
      <w:tr w:rsidR="00C660B5" w:rsidRPr="00232144" w14:paraId="6924EAEA" w14:textId="77777777" w:rsidTr="00232144">
        <w:tc>
          <w:tcPr>
            <w:tcW w:w="370" w:type="pct"/>
            <w:shd w:val="clear" w:color="auto" w:fill="auto"/>
            <w:tcMar>
              <w:top w:w="0" w:type="dxa"/>
              <w:bottom w:w="0" w:type="dxa"/>
            </w:tcMar>
            <w:vAlign w:val="center"/>
          </w:tcPr>
          <w:p w14:paraId="462FEDEA"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12</w:t>
            </w:r>
          </w:p>
        </w:tc>
        <w:tc>
          <w:tcPr>
            <w:tcW w:w="4630" w:type="pct"/>
            <w:shd w:val="clear" w:color="auto" w:fill="auto"/>
            <w:tcMar>
              <w:top w:w="0" w:type="dxa"/>
              <w:bottom w:w="0" w:type="dxa"/>
            </w:tcMar>
            <w:vAlign w:val="center"/>
          </w:tcPr>
          <w:p w14:paraId="37C7055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The Audited Financial Statements 2022, 2023 and the power of attorney of persons signing the Audited Financial Statements; the Financial Statements Q1/2024. </w:t>
            </w:r>
          </w:p>
        </w:tc>
      </w:tr>
      <w:tr w:rsidR="00C660B5" w:rsidRPr="00232144" w14:paraId="008B953E" w14:textId="77777777" w:rsidTr="00232144">
        <w:tc>
          <w:tcPr>
            <w:tcW w:w="370" w:type="pct"/>
            <w:shd w:val="clear" w:color="auto" w:fill="auto"/>
            <w:tcMar>
              <w:top w:w="0" w:type="dxa"/>
              <w:bottom w:w="0" w:type="dxa"/>
            </w:tcMar>
            <w:vAlign w:val="center"/>
          </w:tcPr>
          <w:p w14:paraId="48550D11"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13</w:t>
            </w:r>
          </w:p>
        </w:tc>
        <w:tc>
          <w:tcPr>
            <w:tcW w:w="4630" w:type="pct"/>
            <w:shd w:val="clear" w:color="auto" w:fill="auto"/>
            <w:tcMar>
              <w:top w:w="0" w:type="dxa"/>
              <w:bottom w:w="0" w:type="dxa"/>
            </w:tcMar>
            <w:vAlign w:val="center"/>
          </w:tcPr>
          <w:p w14:paraId="01E31AE6"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Consulting Services Contract No. 04/2024/HDTV-LPBS-</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dated May 16, 2024 between </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and </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Securities Joint Stock Company</w:t>
            </w:r>
          </w:p>
        </w:tc>
      </w:tr>
      <w:tr w:rsidR="00C660B5" w:rsidRPr="00232144" w14:paraId="659F367A" w14:textId="77777777" w:rsidTr="00232144">
        <w:tc>
          <w:tcPr>
            <w:tcW w:w="370" w:type="pct"/>
            <w:shd w:val="clear" w:color="auto" w:fill="auto"/>
            <w:tcMar>
              <w:top w:w="0" w:type="dxa"/>
              <w:bottom w:w="0" w:type="dxa"/>
            </w:tcMar>
            <w:vAlign w:val="center"/>
          </w:tcPr>
          <w:p w14:paraId="05E91B09"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14</w:t>
            </w:r>
          </w:p>
        </w:tc>
        <w:tc>
          <w:tcPr>
            <w:tcW w:w="4630" w:type="pct"/>
            <w:shd w:val="clear" w:color="auto" w:fill="auto"/>
            <w:tcMar>
              <w:top w:w="0" w:type="dxa"/>
              <w:bottom w:w="0" w:type="dxa"/>
            </w:tcMar>
            <w:vAlign w:val="center"/>
          </w:tcPr>
          <w:p w14:paraId="5ABED286" w14:textId="1D0D83D3"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Confirmation No. 58/DDO.DVKD dated May 17, 2024 of Bank for Foreign Trade of Vietnam on opening the blocked account from receiving cash to buy shares of existing shareholders and the Power of Attorney </w:t>
            </w:r>
            <w:r w:rsidR="00232144" w:rsidRPr="00232144">
              <w:rPr>
                <w:rFonts w:ascii="Arial" w:hAnsi="Arial" w:cs="Arial"/>
                <w:color w:val="010000"/>
                <w:sz w:val="20"/>
              </w:rPr>
              <w:t xml:space="preserve">for signing and </w:t>
            </w:r>
            <w:r w:rsidRPr="00232144">
              <w:rPr>
                <w:rFonts w:ascii="Arial" w:hAnsi="Arial" w:cs="Arial"/>
                <w:color w:val="010000"/>
                <w:sz w:val="20"/>
              </w:rPr>
              <w:t>confirm</w:t>
            </w:r>
            <w:r w:rsidR="00232144" w:rsidRPr="00232144">
              <w:rPr>
                <w:rFonts w:ascii="Arial" w:hAnsi="Arial" w:cs="Arial"/>
                <w:color w:val="010000"/>
                <w:sz w:val="20"/>
              </w:rPr>
              <w:t>ation</w:t>
            </w:r>
            <w:r w:rsidRPr="00232144">
              <w:rPr>
                <w:rFonts w:ascii="Arial" w:hAnsi="Arial" w:cs="Arial"/>
                <w:color w:val="010000"/>
                <w:sz w:val="20"/>
              </w:rPr>
              <w:t xml:space="preserve">. </w:t>
            </w:r>
          </w:p>
        </w:tc>
      </w:tr>
      <w:tr w:rsidR="00C660B5" w:rsidRPr="00232144" w14:paraId="29C24F26" w14:textId="77777777" w:rsidTr="00232144">
        <w:tc>
          <w:tcPr>
            <w:tcW w:w="370" w:type="pct"/>
            <w:shd w:val="clear" w:color="auto" w:fill="auto"/>
            <w:tcMar>
              <w:top w:w="0" w:type="dxa"/>
              <w:bottom w:w="0" w:type="dxa"/>
            </w:tcMar>
            <w:vAlign w:val="center"/>
          </w:tcPr>
          <w:p w14:paraId="27F9C388"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lastRenderedPageBreak/>
              <w:t>15</w:t>
            </w:r>
          </w:p>
        </w:tc>
        <w:tc>
          <w:tcPr>
            <w:tcW w:w="4630" w:type="pct"/>
            <w:shd w:val="clear" w:color="auto" w:fill="auto"/>
            <w:tcMar>
              <w:top w:w="0" w:type="dxa"/>
              <w:bottom w:w="0" w:type="dxa"/>
            </w:tcMar>
            <w:vAlign w:val="center"/>
          </w:tcPr>
          <w:p w14:paraId="33CF10BF" w14:textId="21FFB8CE"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The commitment document of the Bank No. 13432/2024/</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commits to ensure </w:t>
            </w:r>
            <w:r w:rsidR="00232144" w:rsidRPr="00232144">
              <w:rPr>
                <w:rFonts w:ascii="Arial" w:hAnsi="Arial" w:cs="Arial"/>
                <w:color w:val="010000"/>
                <w:sz w:val="20"/>
              </w:rPr>
              <w:t>conditions</w:t>
            </w:r>
            <w:r w:rsidRPr="00232144">
              <w:rPr>
                <w:rFonts w:ascii="Arial" w:hAnsi="Arial" w:cs="Arial"/>
                <w:color w:val="010000"/>
                <w:sz w:val="20"/>
              </w:rPr>
              <w:t xml:space="preserve"> of offering. </w:t>
            </w:r>
          </w:p>
        </w:tc>
      </w:tr>
      <w:tr w:rsidR="00C660B5" w:rsidRPr="00232144" w14:paraId="0788B9C1" w14:textId="77777777" w:rsidTr="00232144">
        <w:tc>
          <w:tcPr>
            <w:tcW w:w="370" w:type="pct"/>
            <w:shd w:val="clear" w:color="auto" w:fill="auto"/>
            <w:tcMar>
              <w:top w:w="0" w:type="dxa"/>
              <w:bottom w:w="0" w:type="dxa"/>
            </w:tcMar>
            <w:vAlign w:val="center"/>
          </w:tcPr>
          <w:p w14:paraId="1E631D87" w14:textId="77777777"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16</w:t>
            </w:r>
          </w:p>
        </w:tc>
        <w:tc>
          <w:tcPr>
            <w:tcW w:w="4630" w:type="pct"/>
            <w:shd w:val="clear" w:color="auto" w:fill="auto"/>
            <w:tcMar>
              <w:top w:w="0" w:type="dxa"/>
              <w:bottom w:w="0" w:type="dxa"/>
            </w:tcMar>
            <w:vAlign w:val="center"/>
          </w:tcPr>
          <w:p w14:paraId="5B708AC6" w14:textId="1FA0BA19" w:rsidR="00C660B5" w:rsidRPr="00232144" w:rsidRDefault="00512124" w:rsidP="001A174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32144">
              <w:rPr>
                <w:rFonts w:ascii="Arial" w:hAnsi="Arial" w:cs="Arial"/>
                <w:color w:val="010000"/>
                <w:sz w:val="20"/>
              </w:rPr>
              <w:t xml:space="preserve">Report on using capital </w:t>
            </w:r>
            <w:r w:rsidR="00232144" w:rsidRPr="00232144">
              <w:rPr>
                <w:rFonts w:ascii="Arial" w:hAnsi="Arial" w:cs="Arial"/>
                <w:color w:val="010000"/>
                <w:sz w:val="20"/>
              </w:rPr>
              <w:t>obtained</w:t>
            </w:r>
            <w:r w:rsidRPr="00232144">
              <w:rPr>
                <w:rFonts w:ascii="Arial" w:hAnsi="Arial" w:cs="Arial"/>
                <w:color w:val="010000"/>
                <w:sz w:val="20"/>
              </w:rPr>
              <w:t xml:space="preserve"> from the last public offering of </w:t>
            </w:r>
            <w:proofErr w:type="spellStart"/>
            <w:r w:rsidRPr="00232144">
              <w:rPr>
                <w:rFonts w:ascii="Arial" w:hAnsi="Arial" w:cs="Arial"/>
                <w:color w:val="010000"/>
                <w:sz w:val="20"/>
              </w:rPr>
              <w:t>LPBank</w:t>
            </w:r>
            <w:proofErr w:type="spellEnd"/>
            <w:r w:rsidRPr="00232144">
              <w:rPr>
                <w:rFonts w:ascii="Arial" w:hAnsi="Arial" w:cs="Arial"/>
                <w:color w:val="010000"/>
                <w:sz w:val="20"/>
              </w:rPr>
              <w:t xml:space="preserve"> No. 1072/VN1A-HN-BC dated May 18, 2024 audited by Deloitte Vietnam Company Limited</w:t>
            </w:r>
          </w:p>
        </w:tc>
      </w:tr>
    </w:tbl>
    <w:p w14:paraId="234AE334" w14:textId="77777777" w:rsidR="00C660B5" w:rsidRPr="00232144" w:rsidRDefault="00C660B5" w:rsidP="001A174C">
      <w:pPr>
        <w:tabs>
          <w:tab w:val="left" w:pos="432"/>
        </w:tabs>
        <w:spacing w:after="120" w:line="360" w:lineRule="auto"/>
        <w:jc w:val="both"/>
        <w:rPr>
          <w:rFonts w:ascii="Arial" w:eastAsia="Arial" w:hAnsi="Arial" w:cs="Arial"/>
          <w:color w:val="010000"/>
          <w:sz w:val="20"/>
          <w:szCs w:val="20"/>
        </w:rPr>
      </w:pPr>
    </w:p>
    <w:sectPr w:rsidR="00C660B5" w:rsidRPr="00232144" w:rsidSect="0023214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3AC0"/>
    <w:multiLevelType w:val="multilevel"/>
    <w:tmpl w:val="CA26BECC"/>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B5"/>
    <w:rsid w:val="001A174C"/>
    <w:rsid w:val="00232144"/>
    <w:rsid w:val="004957C2"/>
    <w:rsid w:val="00512124"/>
    <w:rsid w:val="00C660B5"/>
    <w:rsid w:val="00F7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49B1C"/>
  <w15:docId w15:val="{68F5F0FE-C9E1-446E-BD58-6C48607F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00E15"/>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sz w:val="44"/>
      <w:szCs w:val="44"/>
      <w:u w:val="singl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00E15"/>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B10927"/>
      <w:w w:val="70"/>
      <w:sz w:val="20"/>
      <w:szCs w:val="2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strike w:val="0"/>
      <w:color w:val="B10927"/>
      <w:sz w:val="28"/>
      <w:szCs w:val="28"/>
      <w:u w:val="none"/>
      <w:shd w:val="clear" w:color="auto" w:fill="auto"/>
    </w:rPr>
  </w:style>
  <w:style w:type="paragraph" w:customStyle="1" w:styleId="Vnbnnidung0">
    <w:name w:val="Văn bản nội dung"/>
    <w:basedOn w:val="Normal"/>
    <w:link w:val="Vnbnnidung"/>
    <w:pPr>
      <w:spacing w:line="317" w:lineRule="auto"/>
      <w:ind w:firstLine="400"/>
    </w:pPr>
    <w:rPr>
      <w:rFonts w:ascii="Times New Roman" w:eastAsia="Times New Roman" w:hAnsi="Times New Roman" w:cs="Times New Roman"/>
      <w:color w:val="100E15"/>
    </w:rPr>
  </w:style>
  <w:style w:type="paragraph" w:customStyle="1" w:styleId="Tiu10">
    <w:name w:val="Tiêu đề #1"/>
    <w:basedOn w:val="Normal"/>
    <w:link w:val="Tiu1"/>
    <w:pPr>
      <w:ind w:firstLine="1000"/>
      <w:outlineLvl w:val="0"/>
    </w:pPr>
    <w:rPr>
      <w:rFonts w:ascii="Arial" w:eastAsia="Arial" w:hAnsi="Arial" w:cs="Arial"/>
      <w:b/>
      <w:bCs/>
      <w:sz w:val="44"/>
      <w:szCs w:val="44"/>
      <w:u w:val="single"/>
    </w:rPr>
  </w:style>
  <w:style w:type="paragraph" w:customStyle="1" w:styleId="Tiu20">
    <w:name w:val="Tiêu đề #2"/>
    <w:basedOn w:val="Normal"/>
    <w:link w:val="Tiu2"/>
    <w:pPr>
      <w:spacing w:line="298" w:lineRule="auto"/>
      <w:jc w:val="center"/>
      <w:outlineLvl w:val="1"/>
    </w:pPr>
    <w:rPr>
      <w:rFonts w:ascii="Times New Roman" w:eastAsia="Times New Roman" w:hAnsi="Times New Roman" w:cs="Times New Roman"/>
      <w:b/>
      <w:bCs/>
      <w:sz w:val="26"/>
      <w:szCs w:val="26"/>
    </w:rPr>
  </w:style>
  <w:style w:type="paragraph" w:customStyle="1" w:styleId="Khc0">
    <w:name w:val="Khác"/>
    <w:basedOn w:val="Normal"/>
    <w:link w:val="Khc"/>
    <w:pPr>
      <w:spacing w:line="317" w:lineRule="auto"/>
      <w:ind w:firstLine="400"/>
    </w:pPr>
    <w:rPr>
      <w:rFonts w:ascii="Times New Roman" w:eastAsia="Times New Roman" w:hAnsi="Times New Roman" w:cs="Times New Roman"/>
      <w:color w:val="100E15"/>
    </w:rPr>
  </w:style>
  <w:style w:type="paragraph" w:customStyle="1" w:styleId="Vnbnnidung30">
    <w:name w:val="Văn bản nội dung (3)"/>
    <w:basedOn w:val="Normal"/>
    <w:link w:val="Vnbnnidung3"/>
    <w:pPr>
      <w:ind w:left="8620" w:firstLine="20"/>
    </w:pPr>
    <w:rPr>
      <w:rFonts w:ascii="Arial" w:eastAsia="Arial" w:hAnsi="Arial" w:cs="Arial"/>
      <w:b/>
      <w:bCs/>
      <w:color w:val="B10927"/>
      <w:w w:val="70"/>
      <w:sz w:val="20"/>
      <w:szCs w:val="20"/>
    </w:rPr>
  </w:style>
  <w:style w:type="paragraph" w:customStyle="1" w:styleId="Vnbnnidung20">
    <w:name w:val="Văn bản nội dung (2)"/>
    <w:basedOn w:val="Normal"/>
    <w:link w:val="Vnbnnidung2"/>
    <w:pPr>
      <w:spacing w:line="262" w:lineRule="exact"/>
      <w:ind w:left="8620" w:firstLine="20"/>
    </w:pPr>
    <w:rPr>
      <w:rFonts w:ascii="Arial" w:eastAsia="Arial" w:hAnsi="Arial" w:cs="Arial"/>
      <w:smallCaps/>
      <w:color w:val="B10927"/>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A/Bi13BbntMUGZFR3y7SJufIA==">CgMxLjA4AHIhMThJb2hEalVpZlFLUG1jX28xc1R3VUpIcU45YktTc1ZV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2024-05-23T04:01:00Z</dcterms:created>
  <dcterms:modified xsi:type="dcterms:W3CDTF">2024-05-24T06:29:00Z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0e9eca93bc6609ba96fc4478a7bad0ce5d4b67c6e7597db6b7fc1ab8db4be375</vt:lpwstr>
  </property>
</Properties>
</file>