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39E6" w14:textId="06F24B12" w:rsidR="00FE2105" w:rsidRPr="00434455" w:rsidRDefault="00283C42" w:rsidP="00A7371B">
      <w:pPr>
        <w:pBdr>
          <w:top w:val="nil"/>
          <w:left w:val="nil"/>
          <w:bottom w:val="nil"/>
          <w:right w:val="nil"/>
          <w:between w:val="nil"/>
        </w:pBdr>
        <w:spacing w:after="120" w:line="360" w:lineRule="auto"/>
        <w:jc w:val="both"/>
        <w:rPr>
          <w:rFonts w:ascii="Arial" w:eastAsia="Arial" w:hAnsi="Arial" w:cs="Arial"/>
          <w:b/>
          <w:color w:val="010000"/>
          <w:sz w:val="20"/>
          <w:szCs w:val="20"/>
        </w:rPr>
      </w:pPr>
      <w:r w:rsidRPr="00434455">
        <w:rPr>
          <w:rFonts w:ascii="Arial" w:hAnsi="Arial" w:cs="Arial"/>
          <w:b/>
          <w:color w:val="010000"/>
          <w:sz w:val="20"/>
        </w:rPr>
        <w:t xml:space="preserve">KTC: </w:t>
      </w:r>
      <w:r w:rsidR="0026205D">
        <w:rPr>
          <w:rFonts w:ascii="Arial" w:hAnsi="Arial" w:cs="Arial"/>
          <w:b/>
          <w:color w:val="010000"/>
          <w:sz w:val="20"/>
        </w:rPr>
        <w:t>Correction on Audited</w:t>
      </w:r>
      <w:bookmarkStart w:id="0" w:name="_GoBack"/>
      <w:bookmarkEnd w:id="0"/>
      <w:r w:rsidR="00623398" w:rsidRPr="00434455">
        <w:rPr>
          <w:rFonts w:ascii="Arial" w:hAnsi="Arial" w:cs="Arial"/>
          <w:b/>
          <w:color w:val="010000"/>
          <w:sz w:val="20"/>
        </w:rPr>
        <w:t xml:space="preserve"> Financial Statements 2023</w:t>
      </w:r>
    </w:p>
    <w:p w14:paraId="5FD2E845"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 xml:space="preserve">On May 17, 2024, </w:t>
      </w:r>
      <w:proofErr w:type="spellStart"/>
      <w:r w:rsidRPr="00434455">
        <w:rPr>
          <w:rFonts w:ascii="Arial" w:hAnsi="Arial" w:cs="Arial"/>
          <w:color w:val="010000"/>
          <w:sz w:val="20"/>
        </w:rPr>
        <w:t>Kien</w:t>
      </w:r>
      <w:proofErr w:type="spellEnd"/>
      <w:r w:rsidRPr="00434455">
        <w:rPr>
          <w:rFonts w:ascii="Arial" w:hAnsi="Arial" w:cs="Arial"/>
          <w:color w:val="010000"/>
          <w:sz w:val="20"/>
        </w:rPr>
        <w:t xml:space="preserve"> Giang Trading Joint Stock Company announced Official Dispatch No. 123/KTC-TCKT on the correction of the Financial Statements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9"/>
        <w:gridCol w:w="828"/>
        <w:gridCol w:w="2325"/>
        <w:gridCol w:w="2325"/>
      </w:tblGrid>
      <w:tr w:rsidR="00FE2105" w:rsidRPr="00434455" w14:paraId="5981BBDC" w14:textId="77777777" w:rsidTr="00434455">
        <w:tc>
          <w:tcPr>
            <w:tcW w:w="1962" w:type="pct"/>
            <w:shd w:val="clear" w:color="auto" w:fill="auto"/>
            <w:vAlign w:val="center"/>
          </w:tcPr>
          <w:p w14:paraId="3925965A"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Target</w:t>
            </w:r>
          </w:p>
        </w:tc>
        <w:tc>
          <w:tcPr>
            <w:tcW w:w="459" w:type="pct"/>
            <w:shd w:val="clear" w:color="auto" w:fill="auto"/>
            <w:vAlign w:val="center"/>
          </w:tcPr>
          <w:p w14:paraId="7205DB20" w14:textId="34E376B9"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Code</w:t>
            </w:r>
          </w:p>
        </w:tc>
        <w:tc>
          <w:tcPr>
            <w:tcW w:w="1289" w:type="pct"/>
            <w:shd w:val="clear" w:color="auto" w:fill="auto"/>
            <w:vAlign w:val="center"/>
          </w:tcPr>
          <w:p w14:paraId="65B4520F"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 xml:space="preserve">Disclosed figures to compare at the beginning of the period 2023 </w:t>
            </w:r>
          </w:p>
        </w:tc>
        <w:tc>
          <w:tcPr>
            <w:tcW w:w="1289" w:type="pct"/>
            <w:shd w:val="clear" w:color="auto" w:fill="auto"/>
            <w:vAlign w:val="center"/>
          </w:tcPr>
          <w:p w14:paraId="51BCF7F8"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Corrected figures to compare at the beginning of the period 2023</w:t>
            </w:r>
          </w:p>
        </w:tc>
      </w:tr>
      <w:tr w:rsidR="00FE2105" w:rsidRPr="00434455" w14:paraId="5FC28540" w14:textId="77777777" w:rsidTr="00434455">
        <w:tc>
          <w:tcPr>
            <w:tcW w:w="1962" w:type="pct"/>
            <w:shd w:val="clear" w:color="auto" w:fill="auto"/>
            <w:vAlign w:val="center"/>
          </w:tcPr>
          <w:p w14:paraId="6110CDCC"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Net cash flow from business activities</w:t>
            </w:r>
          </w:p>
        </w:tc>
        <w:tc>
          <w:tcPr>
            <w:tcW w:w="459" w:type="pct"/>
            <w:shd w:val="clear" w:color="auto" w:fill="auto"/>
            <w:vAlign w:val="center"/>
          </w:tcPr>
          <w:p w14:paraId="5CB3F402"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20</w:t>
            </w:r>
          </w:p>
        </w:tc>
        <w:tc>
          <w:tcPr>
            <w:tcW w:w="1289" w:type="pct"/>
            <w:shd w:val="clear" w:color="auto" w:fill="auto"/>
            <w:vAlign w:val="center"/>
          </w:tcPr>
          <w:p w14:paraId="7EA4D5F4"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(33,298,411,140)</w:t>
            </w:r>
          </w:p>
        </w:tc>
        <w:tc>
          <w:tcPr>
            <w:tcW w:w="1289" w:type="pct"/>
            <w:shd w:val="clear" w:color="auto" w:fill="auto"/>
            <w:vAlign w:val="center"/>
          </w:tcPr>
          <w:p w14:paraId="14B0DAB1"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140,140,007,323</w:t>
            </w:r>
          </w:p>
        </w:tc>
      </w:tr>
      <w:tr w:rsidR="00FE2105" w:rsidRPr="00434455" w14:paraId="3B92BC6D" w14:textId="77777777" w:rsidTr="00434455">
        <w:tc>
          <w:tcPr>
            <w:tcW w:w="1962" w:type="pct"/>
            <w:shd w:val="clear" w:color="auto" w:fill="auto"/>
            <w:vAlign w:val="center"/>
          </w:tcPr>
          <w:p w14:paraId="447ED6FE"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Net cash flow from investing activities</w:t>
            </w:r>
          </w:p>
        </w:tc>
        <w:tc>
          <w:tcPr>
            <w:tcW w:w="459" w:type="pct"/>
            <w:shd w:val="clear" w:color="auto" w:fill="auto"/>
            <w:vAlign w:val="center"/>
          </w:tcPr>
          <w:p w14:paraId="510AB9F2"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30</w:t>
            </w:r>
          </w:p>
        </w:tc>
        <w:tc>
          <w:tcPr>
            <w:tcW w:w="1289" w:type="pct"/>
            <w:shd w:val="clear" w:color="auto" w:fill="auto"/>
            <w:vAlign w:val="center"/>
          </w:tcPr>
          <w:p w14:paraId="238C536E"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(6,501,922,699)</w:t>
            </w:r>
          </w:p>
        </w:tc>
        <w:tc>
          <w:tcPr>
            <w:tcW w:w="1289" w:type="pct"/>
            <w:shd w:val="clear" w:color="auto" w:fill="auto"/>
            <w:vAlign w:val="center"/>
          </w:tcPr>
          <w:p w14:paraId="5969669F"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(17,493,688,290)</w:t>
            </w:r>
          </w:p>
        </w:tc>
      </w:tr>
      <w:tr w:rsidR="00FE2105" w:rsidRPr="00434455" w14:paraId="7F099A8B" w14:textId="77777777" w:rsidTr="00434455">
        <w:tc>
          <w:tcPr>
            <w:tcW w:w="1962" w:type="pct"/>
            <w:shd w:val="clear" w:color="auto" w:fill="auto"/>
            <w:vAlign w:val="center"/>
          </w:tcPr>
          <w:p w14:paraId="07537333"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Net cash flow from financing activities</w:t>
            </w:r>
          </w:p>
        </w:tc>
        <w:tc>
          <w:tcPr>
            <w:tcW w:w="459" w:type="pct"/>
            <w:shd w:val="clear" w:color="auto" w:fill="auto"/>
            <w:vAlign w:val="center"/>
          </w:tcPr>
          <w:p w14:paraId="27771796"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40</w:t>
            </w:r>
          </w:p>
        </w:tc>
        <w:tc>
          <w:tcPr>
            <w:tcW w:w="1289" w:type="pct"/>
            <w:shd w:val="clear" w:color="auto" w:fill="auto"/>
            <w:vAlign w:val="center"/>
          </w:tcPr>
          <w:p w14:paraId="1ED0A7D7"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32,670,464,075</w:t>
            </w:r>
          </w:p>
        </w:tc>
        <w:tc>
          <w:tcPr>
            <w:tcW w:w="1289" w:type="pct"/>
            <w:shd w:val="clear" w:color="auto" w:fill="auto"/>
            <w:vAlign w:val="center"/>
          </w:tcPr>
          <w:p w14:paraId="45C3AE7C"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7,856,708,169</w:t>
            </w:r>
          </w:p>
        </w:tc>
      </w:tr>
      <w:tr w:rsidR="00FE2105" w:rsidRPr="00434455" w14:paraId="3C8A3E12" w14:textId="77777777" w:rsidTr="00434455">
        <w:tc>
          <w:tcPr>
            <w:tcW w:w="1962" w:type="pct"/>
            <w:shd w:val="clear" w:color="auto" w:fill="auto"/>
            <w:vAlign w:val="center"/>
          </w:tcPr>
          <w:p w14:paraId="2E7ABBFC"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Net cash flow for the year</w:t>
            </w:r>
          </w:p>
        </w:tc>
        <w:tc>
          <w:tcPr>
            <w:tcW w:w="459" w:type="pct"/>
            <w:shd w:val="clear" w:color="auto" w:fill="auto"/>
            <w:vAlign w:val="center"/>
          </w:tcPr>
          <w:p w14:paraId="358A8532"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50</w:t>
            </w:r>
          </w:p>
        </w:tc>
        <w:tc>
          <w:tcPr>
            <w:tcW w:w="1289" w:type="pct"/>
            <w:shd w:val="clear" w:color="auto" w:fill="auto"/>
            <w:vAlign w:val="center"/>
          </w:tcPr>
          <w:p w14:paraId="1E24900E"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(7,129,869,764)</w:t>
            </w:r>
          </w:p>
        </w:tc>
        <w:tc>
          <w:tcPr>
            <w:tcW w:w="1289" w:type="pct"/>
            <w:shd w:val="clear" w:color="auto" w:fill="auto"/>
            <w:vAlign w:val="center"/>
          </w:tcPr>
          <w:p w14:paraId="7BB72819"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130,503,027,202</w:t>
            </w:r>
          </w:p>
        </w:tc>
      </w:tr>
      <w:tr w:rsidR="00FE2105" w:rsidRPr="00434455" w14:paraId="29356A19" w14:textId="77777777" w:rsidTr="00434455">
        <w:tc>
          <w:tcPr>
            <w:tcW w:w="1962" w:type="pct"/>
            <w:shd w:val="clear" w:color="auto" w:fill="auto"/>
            <w:vAlign w:val="center"/>
          </w:tcPr>
          <w:p w14:paraId="1E7BFD1A"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Cash and cash equivalents at the beginning of the year</w:t>
            </w:r>
          </w:p>
        </w:tc>
        <w:tc>
          <w:tcPr>
            <w:tcW w:w="459" w:type="pct"/>
            <w:shd w:val="clear" w:color="auto" w:fill="auto"/>
            <w:vAlign w:val="center"/>
          </w:tcPr>
          <w:p w14:paraId="15A989A4"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60</w:t>
            </w:r>
          </w:p>
        </w:tc>
        <w:tc>
          <w:tcPr>
            <w:tcW w:w="1289" w:type="pct"/>
            <w:shd w:val="clear" w:color="auto" w:fill="auto"/>
            <w:vAlign w:val="center"/>
          </w:tcPr>
          <w:p w14:paraId="24121F16"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83,455,288,551</w:t>
            </w:r>
          </w:p>
        </w:tc>
        <w:tc>
          <w:tcPr>
            <w:tcW w:w="1289" w:type="pct"/>
            <w:shd w:val="clear" w:color="auto" w:fill="auto"/>
            <w:vAlign w:val="center"/>
          </w:tcPr>
          <w:p w14:paraId="663F65E8"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85,133,508,065</w:t>
            </w:r>
          </w:p>
        </w:tc>
      </w:tr>
      <w:tr w:rsidR="00FE2105" w:rsidRPr="00434455" w14:paraId="2168DB3D" w14:textId="77777777" w:rsidTr="00434455">
        <w:tc>
          <w:tcPr>
            <w:tcW w:w="1962" w:type="pct"/>
            <w:shd w:val="clear" w:color="auto" w:fill="auto"/>
            <w:vAlign w:val="center"/>
          </w:tcPr>
          <w:p w14:paraId="0133FB61" w14:textId="4BE300C6"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 xml:space="preserve">Effects of the changes in the exchange rate </w:t>
            </w:r>
            <w:r w:rsidR="00434455" w:rsidRPr="00434455">
              <w:rPr>
                <w:rFonts w:ascii="Arial" w:hAnsi="Arial" w:cs="Arial"/>
                <w:color w:val="010000"/>
                <w:sz w:val="20"/>
              </w:rPr>
              <w:t>of</w:t>
            </w:r>
            <w:r w:rsidRPr="00434455">
              <w:rPr>
                <w:rFonts w:ascii="Arial" w:hAnsi="Arial" w:cs="Arial"/>
                <w:color w:val="010000"/>
                <w:sz w:val="20"/>
              </w:rPr>
              <w:t xml:space="preserve"> foreign currency</w:t>
            </w:r>
          </w:p>
        </w:tc>
        <w:tc>
          <w:tcPr>
            <w:tcW w:w="459" w:type="pct"/>
            <w:shd w:val="clear" w:color="auto" w:fill="auto"/>
            <w:vAlign w:val="center"/>
          </w:tcPr>
          <w:p w14:paraId="423F77DA"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61</w:t>
            </w:r>
          </w:p>
        </w:tc>
        <w:tc>
          <w:tcPr>
            <w:tcW w:w="1289" w:type="pct"/>
            <w:shd w:val="clear" w:color="auto" w:fill="auto"/>
            <w:vAlign w:val="center"/>
          </w:tcPr>
          <w:p w14:paraId="17E5C835"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(53,297,521)</w:t>
            </w:r>
          </w:p>
        </w:tc>
        <w:tc>
          <w:tcPr>
            <w:tcW w:w="1289" w:type="pct"/>
            <w:shd w:val="clear" w:color="auto" w:fill="auto"/>
            <w:vAlign w:val="center"/>
          </w:tcPr>
          <w:p w14:paraId="653E484F"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(1,332,922,910)</w:t>
            </w:r>
          </w:p>
        </w:tc>
      </w:tr>
      <w:tr w:rsidR="00FE2105" w:rsidRPr="00434455" w14:paraId="309F2D65" w14:textId="77777777" w:rsidTr="00434455">
        <w:tc>
          <w:tcPr>
            <w:tcW w:w="1962" w:type="pct"/>
            <w:shd w:val="clear" w:color="auto" w:fill="auto"/>
            <w:vAlign w:val="center"/>
          </w:tcPr>
          <w:p w14:paraId="4EAF7326"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Cash and cash equivalents at the end of the year</w:t>
            </w:r>
          </w:p>
        </w:tc>
        <w:tc>
          <w:tcPr>
            <w:tcW w:w="459" w:type="pct"/>
            <w:shd w:val="clear" w:color="auto" w:fill="auto"/>
            <w:vAlign w:val="center"/>
          </w:tcPr>
          <w:p w14:paraId="3BE1574A"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70</w:t>
            </w:r>
          </w:p>
        </w:tc>
        <w:tc>
          <w:tcPr>
            <w:tcW w:w="1289" w:type="pct"/>
            <w:shd w:val="clear" w:color="auto" w:fill="auto"/>
            <w:vAlign w:val="center"/>
          </w:tcPr>
          <w:p w14:paraId="4EDE8D98" w14:textId="77777777" w:rsidR="00FE2105" w:rsidRPr="00434455" w:rsidRDefault="00283C42" w:rsidP="00A7371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76,272,121,266</w:t>
            </w:r>
          </w:p>
        </w:tc>
        <w:tc>
          <w:tcPr>
            <w:tcW w:w="1289" w:type="pct"/>
            <w:shd w:val="clear" w:color="auto" w:fill="auto"/>
            <w:vAlign w:val="center"/>
          </w:tcPr>
          <w:p w14:paraId="4AEAE6A5"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214,303,612,357</w:t>
            </w:r>
          </w:p>
        </w:tc>
      </w:tr>
    </w:tbl>
    <w:p w14:paraId="659D5348" w14:textId="77777777" w:rsidR="00FE2105" w:rsidRPr="00434455" w:rsidRDefault="00283C42"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This correction only affects the figures to compare for 2022 (the figures of the previous year of the Cash Flow Statement) in the Audited Financial Statements 2023. The other information in the Financial Statements for the fiscal year ended December 31, 2023 remains unchanged and has not been altered from the figures previously disclosed.</w:t>
      </w:r>
    </w:p>
    <w:p w14:paraId="5F90D7F5" w14:textId="331147CE" w:rsidR="00FE2105" w:rsidRPr="00434455" w:rsidRDefault="00434455" w:rsidP="00A7371B">
      <w:pPr>
        <w:pBdr>
          <w:top w:val="nil"/>
          <w:left w:val="nil"/>
          <w:bottom w:val="nil"/>
          <w:right w:val="nil"/>
          <w:between w:val="nil"/>
        </w:pBdr>
        <w:spacing w:after="120" w:line="360" w:lineRule="auto"/>
        <w:jc w:val="both"/>
        <w:rPr>
          <w:rFonts w:ascii="Arial" w:eastAsia="Arial" w:hAnsi="Arial" w:cs="Arial"/>
          <w:color w:val="010000"/>
          <w:sz w:val="20"/>
          <w:szCs w:val="20"/>
        </w:rPr>
      </w:pPr>
      <w:r w:rsidRPr="00434455">
        <w:rPr>
          <w:rFonts w:ascii="Arial" w:hAnsi="Arial" w:cs="Arial"/>
          <w:color w:val="010000"/>
          <w:sz w:val="20"/>
        </w:rPr>
        <w:t xml:space="preserve">This </w:t>
      </w:r>
      <w:r w:rsidR="00283C42" w:rsidRPr="00434455">
        <w:rPr>
          <w:rFonts w:ascii="Arial" w:hAnsi="Arial" w:cs="Arial"/>
          <w:color w:val="010000"/>
          <w:sz w:val="20"/>
        </w:rPr>
        <w:t xml:space="preserve">Official Dispatch is an integral part and </w:t>
      </w:r>
      <w:r w:rsidRPr="00434455">
        <w:rPr>
          <w:rFonts w:ascii="Arial" w:hAnsi="Arial" w:cs="Arial"/>
          <w:color w:val="010000"/>
          <w:sz w:val="20"/>
        </w:rPr>
        <w:t xml:space="preserve">shall be </w:t>
      </w:r>
      <w:r w:rsidR="00283C42" w:rsidRPr="00434455">
        <w:rPr>
          <w:rFonts w:ascii="Arial" w:hAnsi="Arial" w:cs="Arial"/>
          <w:color w:val="010000"/>
          <w:sz w:val="20"/>
        </w:rPr>
        <w:t xml:space="preserve">read </w:t>
      </w:r>
      <w:r w:rsidRPr="00434455">
        <w:rPr>
          <w:rFonts w:ascii="Arial" w:hAnsi="Arial" w:cs="Arial"/>
          <w:color w:val="010000"/>
          <w:sz w:val="20"/>
        </w:rPr>
        <w:t xml:space="preserve">together </w:t>
      </w:r>
      <w:r w:rsidR="00283C42" w:rsidRPr="00434455">
        <w:rPr>
          <w:rFonts w:ascii="Arial" w:hAnsi="Arial" w:cs="Arial"/>
          <w:color w:val="010000"/>
          <w:sz w:val="20"/>
        </w:rPr>
        <w:t>with the</w:t>
      </w:r>
      <w:r w:rsidR="007F77C7" w:rsidRPr="00434455">
        <w:rPr>
          <w:rFonts w:ascii="Arial" w:hAnsi="Arial" w:cs="Arial"/>
          <w:color w:val="010000"/>
          <w:sz w:val="20"/>
        </w:rPr>
        <w:t xml:space="preserve"> </w:t>
      </w:r>
      <w:r w:rsidR="00283C42" w:rsidRPr="00434455">
        <w:rPr>
          <w:rFonts w:ascii="Arial" w:hAnsi="Arial" w:cs="Arial"/>
          <w:color w:val="010000"/>
          <w:sz w:val="20"/>
        </w:rPr>
        <w:t>Financial Statements 2023.</w:t>
      </w:r>
    </w:p>
    <w:sectPr w:rsidR="00FE2105" w:rsidRPr="00434455" w:rsidSect="000B5F0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05"/>
    <w:rsid w:val="000B5F0E"/>
    <w:rsid w:val="0026205D"/>
    <w:rsid w:val="00283C42"/>
    <w:rsid w:val="00434455"/>
    <w:rsid w:val="00623398"/>
    <w:rsid w:val="007F77C7"/>
    <w:rsid w:val="00995A87"/>
    <w:rsid w:val="00A7371B"/>
    <w:rsid w:val="00B935D6"/>
    <w:rsid w:val="00FE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8C12D"/>
  <w15:docId w15:val="{3FC621BE-663D-4735-B05F-24593667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9"/>
      <w:szCs w:val="19"/>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5"/>
      <w:szCs w:val="15"/>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b/>
      <w:bCs/>
      <w:sz w:val="20"/>
      <w:szCs w:val="20"/>
    </w:rPr>
  </w:style>
  <w:style w:type="paragraph" w:customStyle="1" w:styleId="Tiu20">
    <w:name w:val="Tiêu đề #2"/>
    <w:basedOn w:val="Normal"/>
    <w:link w:val="Tiu2"/>
    <w:pPr>
      <w:spacing w:line="257" w:lineRule="auto"/>
      <w:ind w:firstLine="340"/>
      <w:jc w:val="center"/>
      <w:outlineLvl w:val="1"/>
    </w:pPr>
    <w:rPr>
      <w:rFonts w:ascii="Times New Roman" w:eastAsia="Times New Roman" w:hAnsi="Times New Roman" w:cs="Times New Roman"/>
      <w:b/>
      <w:bCs/>
      <w:sz w:val="20"/>
      <w:szCs w:val="20"/>
    </w:rPr>
  </w:style>
  <w:style w:type="paragraph" w:customStyle="1" w:styleId="Vnbnnidung40">
    <w:name w:val="Văn bản nội dung (4)"/>
    <w:basedOn w:val="Normal"/>
    <w:link w:val="Vnbnnidung4"/>
    <w:pPr>
      <w:spacing w:line="233" w:lineRule="auto"/>
    </w:pPr>
    <w:rPr>
      <w:rFonts w:ascii="Arial" w:eastAsia="Arial" w:hAnsi="Arial" w:cs="Arial"/>
      <w:b/>
      <w:bCs/>
      <w:sz w:val="26"/>
      <w:szCs w:val="26"/>
    </w:rPr>
  </w:style>
  <w:style w:type="paragraph" w:customStyle="1" w:styleId="Tiu10">
    <w:name w:val="Tiêu đề #1"/>
    <w:basedOn w:val="Normal"/>
    <w:link w:val="Tiu1"/>
    <w:pPr>
      <w:spacing w:line="235" w:lineRule="auto"/>
      <w:outlineLvl w:val="0"/>
    </w:pPr>
    <w:rPr>
      <w:rFonts w:ascii="Arial" w:eastAsia="Arial" w:hAnsi="Arial" w:cs="Arial"/>
      <w:sz w:val="34"/>
      <w:szCs w:val="34"/>
    </w:rPr>
  </w:style>
  <w:style w:type="paragraph" w:customStyle="1" w:styleId="Vnbnnidung30">
    <w:name w:val="Văn bản nội dung (3)"/>
    <w:basedOn w:val="Normal"/>
    <w:link w:val="Vnbnnidung3"/>
    <w:pPr>
      <w:spacing w:line="233" w:lineRule="auto"/>
    </w:pPr>
    <w:rPr>
      <w:rFonts w:ascii="Arial" w:eastAsia="Arial" w:hAnsi="Arial" w:cs="Arial"/>
      <w:sz w:val="10"/>
      <w:szCs w:val="10"/>
    </w:rPr>
  </w:style>
  <w:style w:type="paragraph" w:customStyle="1" w:styleId="Vnbnnidung20">
    <w:name w:val="Văn bản nội dung (2)"/>
    <w:basedOn w:val="Normal"/>
    <w:link w:val="Vnbnnidung2"/>
    <w:rPr>
      <w:rFonts w:ascii="Arial" w:eastAsia="Arial" w:hAnsi="Arial" w:cs="Arial"/>
      <w:sz w:val="19"/>
      <w:szCs w:val="19"/>
    </w:rPr>
  </w:style>
  <w:style w:type="paragraph" w:customStyle="1" w:styleId="Vnbnnidung50">
    <w:name w:val="Văn bản nội dung (5)"/>
    <w:basedOn w:val="Normal"/>
    <w:link w:val="Vnbnnidung5"/>
    <w:rPr>
      <w:rFonts w:ascii="Arial" w:eastAsia="Arial" w:hAnsi="Arial" w:cs="Arial"/>
      <w:sz w:val="15"/>
      <w:szCs w:val="15"/>
    </w:rPr>
  </w:style>
  <w:style w:type="paragraph" w:customStyle="1" w:styleId="Mclc0">
    <w:name w:val="Mục lục"/>
    <w:basedOn w:val="Normal"/>
    <w:link w:val="Mclc"/>
    <w:pPr>
      <w:spacing w:line="276" w:lineRule="auto"/>
    </w:pPr>
    <w:rPr>
      <w:rFonts w:ascii="Arial" w:eastAsia="Arial" w:hAnsi="Arial" w:cs="Arial"/>
      <w:sz w:val="19"/>
      <w:szCs w:val="19"/>
    </w:rPr>
  </w:style>
  <w:style w:type="table" w:styleId="TableGrid">
    <w:name w:val="Table Grid"/>
    <w:basedOn w:val="TableNormal"/>
    <w:uiPriority w:val="39"/>
    <w:rsid w:val="00E3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X9zu9OpjOKWJguY0OMsg2EglqA==">CgMxLjA4AHIhMUdNOU9FYmRRR0R5bzhTTFlQa0V1VjVSWDlDZDJaby1C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2024-05-27T07:07:00Z</dcterms:created>
  <dcterms:modified xsi:type="dcterms:W3CDTF">2024-05-27T07:07:00Z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de90d6015e9416be55361b9d40315bc02e5ffe809f77afccc39b1814de86fa1f</vt:lpwstr>
  </property>
</Properties>
</file>