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BFCB"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9D1440">
        <w:rPr>
          <w:rFonts w:ascii="Arial" w:hAnsi="Arial" w:cs="Arial"/>
          <w:b/>
          <w:color w:val="010000"/>
          <w:sz w:val="20"/>
        </w:rPr>
        <w:t xml:space="preserve">PXM: Extraordinary General Mandate 2024 </w:t>
      </w:r>
    </w:p>
    <w:p w14:paraId="4E18A536"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On May 20, 2024, Mien Trung Petroleum Construction JSC announced General Mandate No. 15/NQ-DHDCD-XLDKMT as follows:</w:t>
      </w:r>
    </w:p>
    <w:p w14:paraId="2286F9F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‎‎Article 1. Production and business results in 2023 and the plan for 2024:</w:t>
      </w:r>
    </w:p>
    <w:p w14:paraId="2F310B92" w14:textId="77777777" w:rsidR="00954DAE" w:rsidRPr="009D1440" w:rsidRDefault="00F74189" w:rsidP="009028E7">
      <w:pPr>
        <w:numPr>
          <w:ilvl w:val="0"/>
          <w:numId w:val="2"/>
        </w:numP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Production and business results in 2023: Disapprove the production and business results in 2023</w:t>
      </w:r>
    </w:p>
    <w:p w14:paraId="07959D69" w14:textId="77777777" w:rsidR="00954DAE" w:rsidRPr="009D1440" w:rsidRDefault="00F74189" w:rsidP="009028E7">
      <w:pPr>
        <w:tabs>
          <w:tab w:val="left" w:pos="432"/>
        </w:tabs>
        <w:spacing w:after="120" w:line="360" w:lineRule="auto"/>
        <w:jc w:val="right"/>
        <w:rPr>
          <w:rFonts w:ascii="Arial" w:eastAsia="Arial" w:hAnsi="Arial" w:cs="Arial"/>
          <w:color w:val="010000"/>
          <w:sz w:val="20"/>
          <w:szCs w:val="20"/>
        </w:rPr>
      </w:pPr>
      <w:r w:rsidRPr="009D1440">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2"/>
        <w:gridCol w:w="2869"/>
        <w:gridCol w:w="1764"/>
        <w:gridCol w:w="1780"/>
        <w:gridCol w:w="1962"/>
      </w:tblGrid>
      <w:tr w:rsidR="00954DAE" w:rsidRPr="009D1440" w14:paraId="3B90C4AD" w14:textId="77777777" w:rsidTr="009028E7">
        <w:tc>
          <w:tcPr>
            <w:tcW w:w="356" w:type="pct"/>
            <w:shd w:val="clear" w:color="auto" w:fill="auto"/>
            <w:tcMar>
              <w:top w:w="0" w:type="dxa"/>
              <w:bottom w:w="0" w:type="dxa"/>
            </w:tcMar>
            <w:vAlign w:val="center"/>
          </w:tcPr>
          <w:p w14:paraId="11C46F8F"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No.</w:t>
            </w:r>
          </w:p>
        </w:tc>
        <w:tc>
          <w:tcPr>
            <w:tcW w:w="1591" w:type="pct"/>
            <w:shd w:val="clear" w:color="auto" w:fill="auto"/>
            <w:tcMar>
              <w:top w:w="0" w:type="dxa"/>
              <w:bottom w:w="0" w:type="dxa"/>
            </w:tcMar>
            <w:vAlign w:val="center"/>
          </w:tcPr>
          <w:p w14:paraId="37F86D15"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Targets</w:t>
            </w:r>
          </w:p>
        </w:tc>
        <w:tc>
          <w:tcPr>
            <w:tcW w:w="978" w:type="pct"/>
            <w:shd w:val="clear" w:color="auto" w:fill="auto"/>
            <w:tcMar>
              <w:top w:w="0" w:type="dxa"/>
              <w:bottom w:w="0" w:type="dxa"/>
            </w:tcMar>
            <w:vAlign w:val="center"/>
          </w:tcPr>
          <w:p w14:paraId="507D97F1"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Plan in 2023 approved by the General Meeting of Shareholders</w:t>
            </w:r>
          </w:p>
        </w:tc>
        <w:tc>
          <w:tcPr>
            <w:tcW w:w="987" w:type="pct"/>
            <w:shd w:val="clear" w:color="auto" w:fill="auto"/>
            <w:tcMar>
              <w:top w:w="0" w:type="dxa"/>
              <w:bottom w:w="0" w:type="dxa"/>
            </w:tcMar>
            <w:vAlign w:val="center"/>
          </w:tcPr>
          <w:p w14:paraId="7D3AE62B"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Results 2023</w:t>
            </w:r>
          </w:p>
        </w:tc>
        <w:tc>
          <w:tcPr>
            <w:tcW w:w="1088" w:type="pct"/>
            <w:shd w:val="clear" w:color="auto" w:fill="auto"/>
            <w:tcMar>
              <w:top w:w="0" w:type="dxa"/>
              <w:bottom w:w="0" w:type="dxa"/>
            </w:tcMar>
            <w:vAlign w:val="center"/>
          </w:tcPr>
          <w:p w14:paraId="579CF5DB"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Plan completion rate in 2023</w:t>
            </w:r>
          </w:p>
        </w:tc>
      </w:tr>
      <w:tr w:rsidR="00954DAE" w:rsidRPr="009D1440" w14:paraId="2847F041" w14:textId="77777777" w:rsidTr="009028E7">
        <w:tc>
          <w:tcPr>
            <w:tcW w:w="356" w:type="pct"/>
            <w:shd w:val="clear" w:color="auto" w:fill="auto"/>
            <w:tcMar>
              <w:top w:w="0" w:type="dxa"/>
              <w:bottom w:w="0" w:type="dxa"/>
            </w:tcMar>
            <w:vAlign w:val="center"/>
          </w:tcPr>
          <w:p w14:paraId="3BD5ECD3"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w:t>
            </w:r>
          </w:p>
        </w:tc>
        <w:tc>
          <w:tcPr>
            <w:tcW w:w="1591" w:type="pct"/>
            <w:shd w:val="clear" w:color="auto" w:fill="auto"/>
            <w:tcMar>
              <w:top w:w="0" w:type="dxa"/>
              <w:bottom w:w="0" w:type="dxa"/>
            </w:tcMar>
            <w:vAlign w:val="center"/>
          </w:tcPr>
          <w:p w14:paraId="18EB3B8A"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Production and business value</w:t>
            </w:r>
          </w:p>
        </w:tc>
        <w:tc>
          <w:tcPr>
            <w:tcW w:w="978" w:type="pct"/>
            <w:shd w:val="clear" w:color="auto" w:fill="auto"/>
            <w:tcMar>
              <w:top w:w="0" w:type="dxa"/>
              <w:bottom w:w="0" w:type="dxa"/>
            </w:tcMar>
            <w:vAlign w:val="center"/>
          </w:tcPr>
          <w:p w14:paraId="1357CB4B"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2.43</w:t>
            </w:r>
          </w:p>
        </w:tc>
        <w:tc>
          <w:tcPr>
            <w:tcW w:w="987" w:type="pct"/>
            <w:shd w:val="clear" w:color="auto" w:fill="auto"/>
            <w:tcMar>
              <w:top w:w="0" w:type="dxa"/>
              <w:bottom w:w="0" w:type="dxa"/>
            </w:tcMar>
            <w:vAlign w:val="center"/>
          </w:tcPr>
          <w:p w14:paraId="2A1EAB87"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2.00</w:t>
            </w:r>
          </w:p>
        </w:tc>
        <w:tc>
          <w:tcPr>
            <w:tcW w:w="1088" w:type="pct"/>
            <w:shd w:val="clear" w:color="auto" w:fill="auto"/>
            <w:tcMar>
              <w:top w:w="0" w:type="dxa"/>
              <w:bottom w:w="0" w:type="dxa"/>
            </w:tcMar>
            <w:vAlign w:val="center"/>
          </w:tcPr>
          <w:p w14:paraId="75A7251E"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82%</w:t>
            </w:r>
          </w:p>
        </w:tc>
      </w:tr>
      <w:tr w:rsidR="00954DAE" w:rsidRPr="009D1440" w14:paraId="42005E00" w14:textId="77777777" w:rsidTr="009028E7">
        <w:tc>
          <w:tcPr>
            <w:tcW w:w="356" w:type="pct"/>
            <w:shd w:val="clear" w:color="auto" w:fill="auto"/>
            <w:tcMar>
              <w:top w:w="0" w:type="dxa"/>
              <w:bottom w:w="0" w:type="dxa"/>
            </w:tcMar>
            <w:vAlign w:val="center"/>
          </w:tcPr>
          <w:p w14:paraId="6AD8A6EE"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1488F6F1"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Construction and installation</w:t>
            </w:r>
          </w:p>
        </w:tc>
        <w:tc>
          <w:tcPr>
            <w:tcW w:w="978" w:type="pct"/>
            <w:shd w:val="clear" w:color="auto" w:fill="auto"/>
            <w:tcMar>
              <w:top w:w="0" w:type="dxa"/>
              <w:bottom w:w="0" w:type="dxa"/>
            </w:tcMar>
            <w:vAlign w:val="center"/>
          </w:tcPr>
          <w:p w14:paraId="65764667"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0577C8DE"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088" w:type="pct"/>
            <w:shd w:val="clear" w:color="auto" w:fill="auto"/>
            <w:tcMar>
              <w:top w:w="0" w:type="dxa"/>
              <w:bottom w:w="0" w:type="dxa"/>
            </w:tcMar>
            <w:vAlign w:val="center"/>
          </w:tcPr>
          <w:p w14:paraId="5F61B241"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722DA76B" w14:textId="77777777" w:rsidTr="009028E7">
        <w:tc>
          <w:tcPr>
            <w:tcW w:w="356" w:type="pct"/>
            <w:shd w:val="clear" w:color="auto" w:fill="auto"/>
            <w:tcMar>
              <w:top w:w="0" w:type="dxa"/>
              <w:bottom w:w="0" w:type="dxa"/>
            </w:tcMar>
            <w:vAlign w:val="center"/>
          </w:tcPr>
          <w:p w14:paraId="2322FF8B"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10B22D4C"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Other than construction and installation</w:t>
            </w:r>
          </w:p>
        </w:tc>
        <w:tc>
          <w:tcPr>
            <w:tcW w:w="978" w:type="pct"/>
            <w:shd w:val="clear" w:color="auto" w:fill="auto"/>
            <w:tcMar>
              <w:top w:w="0" w:type="dxa"/>
              <w:bottom w:w="0" w:type="dxa"/>
            </w:tcMar>
            <w:vAlign w:val="center"/>
          </w:tcPr>
          <w:p w14:paraId="1E80801F"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1.93</w:t>
            </w:r>
          </w:p>
        </w:tc>
        <w:tc>
          <w:tcPr>
            <w:tcW w:w="987" w:type="pct"/>
            <w:shd w:val="clear" w:color="auto" w:fill="auto"/>
            <w:tcMar>
              <w:top w:w="0" w:type="dxa"/>
              <w:bottom w:w="0" w:type="dxa"/>
            </w:tcMar>
            <w:vAlign w:val="center"/>
          </w:tcPr>
          <w:p w14:paraId="42BFF1FD"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1.49</w:t>
            </w:r>
          </w:p>
        </w:tc>
        <w:tc>
          <w:tcPr>
            <w:tcW w:w="1088" w:type="pct"/>
            <w:shd w:val="clear" w:color="auto" w:fill="auto"/>
            <w:tcMar>
              <w:top w:w="0" w:type="dxa"/>
              <w:bottom w:w="0" w:type="dxa"/>
            </w:tcMar>
            <w:vAlign w:val="center"/>
          </w:tcPr>
          <w:p w14:paraId="58B350B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1D31E487" w14:textId="77777777" w:rsidTr="009028E7">
        <w:tc>
          <w:tcPr>
            <w:tcW w:w="356" w:type="pct"/>
            <w:shd w:val="clear" w:color="auto" w:fill="auto"/>
            <w:tcMar>
              <w:top w:w="0" w:type="dxa"/>
              <w:bottom w:w="0" w:type="dxa"/>
            </w:tcMar>
            <w:vAlign w:val="center"/>
          </w:tcPr>
          <w:p w14:paraId="5C7CB39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3703CF6D"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Financial activities</w:t>
            </w:r>
          </w:p>
        </w:tc>
        <w:tc>
          <w:tcPr>
            <w:tcW w:w="978" w:type="pct"/>
            <w:shd w:val="clear" w:color="auto" w:fill="auto"/>
            <w:tcMar>
              <w:top w:w="0" w:type="dxa"/>
              <w:bottom w:w="0" w:type="dxa"/>
            </w:tcMar>
            <w:vAlign w:val="center"/>
          </w:tcPr>
          <w:p w14:paraId="28395B52"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3B7120A5"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088" w:type="pct"/>
            <w:shd w:val="clear" w:color="auto" w:fill="auto"/>
            <w:tcMar>
              <w:top w:w="0" w:type="dxa"/>
              <w:bottom w:w="0" w:type="dxa"/>
            </w:tcMar>
            <w:vAlign w:val="center"/>
          </w:tcPr>
          <w:p w14:paraId="7DFE3B32"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5D3B471B" w14:textId="77777777" w:rsidTr="009028E7">
        <w:tc>
          <w:tcPr>
            <w:tcW w:w="356" w:type="pct"/>
            <w:shd w:val="clear" w:color="auto" w:fill="auto"/>
            <w:tcMar>
              <w:top w:w="0" w:type="dxa"/>
              <w:bottom w:w="0" w:type="dxa"/>
            </w:tcMar>
            <w:vAlign w:val="center"/>
          </w:tcPr>
          <w:p w14:paraId="1E18D028"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38F66274"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Other incomes</w:t>
            </w:r>
          </w:p>
        </w:tc>
        <w:tc>
          <w:tcPr>
            <w:tcW w:w="978" w:type="pct"/>
            <w:shd w:val="clear" w:color="auto" w:fill="auto"/>
            <w:tcMar>
              <w:top w:w="0" w:type="dxa"/>
              <w:bottom w:w="0" w:type="dxa"/>
            </w:tcMar>
            <w:vAlign w:val="center"/>
          </w:tcPr>
          <w:p w14:paraId="5F2BC066"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0.50</w:t>
            </w:r>
          </w:p>
        </w:tc>
        <w:tc>
          <w:tcPr>
            <w:tcW w:w="987" w:type="pct"/>
            <w:shd w:val="clear" w:color="auto" w:fill="auto"/>
            <w:tcMar>
              <w:top w:w="0" w:type="dxa"/>
              <w:bottom w:w="0" w:type="dxa"/>
            </w:tcMar>
            <w:vAlign w:val="center"/>
          </w:tcPr>
          <w:p w14:paraId="2C80F51A"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0.51</w:t>
            </w:r>
          </w:p>
        </w:tc>
        <w:tc>
          <w:tcPr>
            <w:tcW w:w="1088" w:type="pct"/>
            <w:shd w:val="clear" w:color="auto" w:fill="auto"/>
            <w:tcMar>
              <w:top w:w="0" w:type="dxa"/>
              <w:bottom w:w="0" w:type="dxa"/>
            </w:tcMar>
            <w:vAlign w:val="center"/>
          </w:tcPr>
          <w:p w14:paraId="6A47BD6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6755CF64" w14:textId="77777777" w:rsidTr="009028E7">
        <w:tc>
          <w:tcPr>
            <w:tcW w:w="356" w:type="pct"/>
            <w:shd w:val="clear" w:color="auto" w:fill="auto"/>
            <w:tcMar>
              <w:top w:w="0" w:type="dxa"/>
              <w:bottom w:w="0" w:type="dxa"/>
            </w:tcMar>
            <w:vAlign w:val="center"/>
          </w:tcPr>
          <w:p w14:paraId="4623B358"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w:t>
            </w:r>
          </w:p>
        </w:tc>
        <w:tc>
          <w:tcPr>
            <w:tcW w:w="1591" w:type="pct"/>
            <w:shd w:val="clear" w:color="auto" w:fill="auto"/>
            <w:tcMar>
              <w:top w:w="0" w:type="dxa"/>
              <w:bottom w:w="0" w:type="dxa"/>
            </w:tcMar>
            <w:vAlign w:val="center"/>
          </w:tcPr>
          <w:p w14:paraId="62A41D52"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Revenue</w:t>
            </w:r>
          </w:p>
        </w:tc>
        <w:tc>
          <w:tcPr>
            <w:tcW w:w="978" w:type="pct"/>
            <w:shd w:val="clear" w:color="auto" w:fill="auto"/>
            <w:tcMar>
              <w:top w:w="0" w:type="dxa"/>
              <w:bottom w:w="0" w:type="dxa"/>
            </w:tcMar>
            <w:vAlign w:val="center"/>
          </w:tcPr>
          <w:p w14:paraId="4D05B146"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2.21</w:t>
            </w:r>
          </w:p>
        </w:tc>
        <w:tc>
          <w:tcPr>
            <w:tcW w:w="987" w:type="pct"/>
            <w:shd w:val="clear" w:color="auto" w:fill="auto"/>
            <w:tcMar>
              <w:top w:w="0" w:type="dxa"/>
              <w:bottom w:w="0" w:type="dxa"/>
            </w:tcMar>
            <w:vAlign w:val="center"/>
          </w:tcPr>
          <w:p w14:paraId="6E6EA624"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1.85</w:t>
            </w:r>
          </w:p>
        </w:tc>
        <w:tc>
          <w:tcPr>
            <w:tcW w:w="1088" w:type="pct"/>
            <w:shd w:val="clear" w:color="auto" w:fill="auto"/>
            <w:tcMar>
              <w:top w:w="0" w:type="dxa"/>
              <w:bottom w:w="0" w:type="dxa"/>
            </w:tcMar>
            <w:vAlign w:val="center"/>
          </w:tcPr>
          <w:p w14:paraId="25E89982"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84%</w:t>
            </w:r>
          </w:p>
        </w:tc>
      </w:tr>
      <w:tr w:rsidR="00954DAE" w:rsidRPr="009D1440" w14:paraId="0F5E7CEC" w14:textId="77777777" w:rsidTr="009028E7">
        <w:tc>
          <w:tcPr>
            <w:tcW w:w="356" w:type="pct"/>
            <w:shd w:val="clear" w:color="auto" w:fill="auto"/>
            <w:tcMar>
              <w:top w:w="0" w:type="dxa"/>
              <w:bottom w:w="0" w:type="dxa"/>
            </w:tcMar>
            <w:vAlign w:val="center"/>
          </w:tcPr>
          <w:p w14:paraId="62020DE3"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03DBA026"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Construction and installation</w:t>
            </w:r>
          </w:p>
        </w:tc>
        <w:tc>
          <w:tcPr>
            <w:tcW w:w="978" w:type="pct"/>
            <w:shd w:val="clear" w:color="auto" w:fill="auto"/>
            <w:tcMar>
              <w:top w:w="0" w:type="dxa"/>
              <w:bottom w:w="0" w:type="dxa"/>
            </w:tcMar>
            <w:vAlign w:val="center"/>
          </w:tcPr>
          <w:p w14:paraId="1B9B8DC0"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3999BE37"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088" w:type="pct"/>
            <w:shd w:val="clear" w:color="auto" w:fill="auto"/>
            <w:tcMar>
              <w:top w:w="0" w:type="dxa"/>
              <w:bottom w:w="0" w:type="dxa"/>
            </w:tcMar>
            <w:vAlign w:val="center"/>
          </w:tcPr>
          <w:p w14:paraId="5A23180C"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68DB3E55" w14:textId="77777777" w:rsidTr="009028E7">
        <w:tc>
          <w:tcPr>
            <w:tcW w:w="356" w:type="pct"/>
            <w:shd w:val="clear" w:color="auto" w:fill="auto"/>
            <w:tcMar>
              <w:top w:w="0" w:type="dxa"/>
              <w:bottom w:w="0" w:type="dxa"/>
            </w:tcMar>
            <w:vAlign w:val="center"/>
          </w:tcPr>
          <w:p w14:paraId="36EB272D"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764AC116"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Other than construction and installation</w:t>
            </w:r>
          </w:p>
        </w:tc>
        <w:tc>
          <w:tcPr>
            <w:tcW w:w="978" w:type="pct"/>
            <w:shd w:val="clear" w:color="auto" w:fill="auto"/>
            <w:tcMar>
              <w:top w:w="0" w:type="dxa"/>
              <w:bottom w:w="0" w:type="dxa"/>
            </w:tcMar>
            <w:vAlign w:val="center"/>
          </w:tcPr>
          <w:p w14:paraId="2CDE5DBB"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1.76</w:t>
            </w:r>
          </w:p>
        </w:tc>
        <w:tc>
          <w:tcPr>
            <w:tcW w:w="987" w:type="pct"/>
            <w:shd w:val="clear" w:color="auto" w:fill="auto"/>
            <w:tcMar>
              <w:top w:w="0" w:type="dxa"/>
              <w:bottom w:w="0" w:type="dxa"/>
            </w:tcMar>
            <w:vAlign w:val="center"/>
          </w:tcPr>
          <w:p w14:paraId="69BEA8C5"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1.38</w:t>
            </w:r>
          </w:p>
        </w:tc>
        <w:tc>
          <w:tcPr>
            <w:tcW w:w="1088" w:type="pct"/>
            <w:shd w:val="clear" w:color="auto" w:fill="auto"/>
            <w:tcMar>
              <w:top w:w="0" w:type="dxa"/>
              <w:bottom w:w="0" w:type="dxa"/>
            </w:tcMar>
            <w:vAlign w:val="center"/>
          </w:tcPr>
          <w:p w14:paraId="525D859A"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742FF8F2" w14:textId="77777777" w:rsidTr="009028E7">
        <w:tc>
          <w:tcPr>
            <w:tcW w:w="356" w:type="pct"/>
            <w:shd w:val="clear" w:color="auto" w:fill="auto"/>
            <w:tcMar>
              <w:top w:w="0" w:type="dxa"/>
              <w:bottom w:w="0" w:type="dxa"/>
            </w:tcMar>
            <w:vAlign w:val="center"/>
          </w:tcPr>
          <w:p w14:paraId="3DF33778"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36A3C259"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Financial activities</w:t>
            </w:r>
          </w:p>
        </w:tc>
        <w:tc>
          <w:tcPr>
            <w:tcW w:w="978" w:type="pct"/>
            <w:shd w:val="clear" w:color="auto" w:fill="auto"/>
            <w:tcMar>
              <w:top w:w="0" w:type="dxa"/>
              <w:bottom w:w="0" w:type="dxa"/>
            </w:tcMar>
            <w:vAlign w:val="center"/>
          </w:tcPr>
          <w:p w14:paraId="43639C4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5F706394"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088" w:type="pct"/>
            <w:shd w:val="clear" w:color="auto" w:fill="auto"/>
            <w:tcMar>
              <w:top w:w="0" w:type="dxa"/>
              <w:bottom w:w="0" w:type="dxa"/>
            </w:tcMar>
            <w:vAlign w:val="center"/>
          </w:tcPr>
          <w:p w14:paraId="75A91FA5"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56799CBA" w14:textId="77777777" w:rsidTr="009028E7">
        <w:tc>
          <w:tcPr>
            <w:tcW w:w="356" w:type="pct"/>
            <w:shd w:val="clear" w:color="auto" w:fill="auto"/>
            <w:tcMar>
              <w:top w:w="0" w:type="dxa"/>
              <w:bottom w:w="0" w:type="dxa"/>
            </w:tcMar>
            <w:vAlign w:val="center"/>
          </w:tcPr>
          <w:p w14:paraId="6F6E4D6E"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591" w:type="pct"/>
            <w:shd w:val="clear" w:color="auto" w:fill="auto"/>
            <w:tcMar>
              <w:top w:w="0" w:type="dxa"/>
              <w:bottom w:w="0" w:type="dxa"/>
            </w:tcMar>
            <w:vAlign w:val="center"/>
          </w:tcPr>
          <w:p w14:paraId="759D55FD" w14:textId="77777777" w:rsidR="00954DAE" w:rsidRPr="009D1440" w:rsidRDefault="00F74189" w:rsidP="009028E7">
            <w:pPr>
              <w:numPr>
                <w:ilvl w:val="0"/>
                <w:numId w:val="1"/>
              </w:numPr>
              <w:tabs>
                <w:tab w:val="left" w:pos="432"/>
              </w:tabs>
              <w:spacing w:after="120" w:line="360" w:lineRule="auto"/>
              <w:ind w:left="0" w:firstLine="0"/>
              <w:rPr>
                <w:rFonts w:ascii="Arial" w:hAnsi="Arial" w:cs="Arial"/>
                <w:color w:val="010000"/>
                <w:sz w:val="20"/>
                <w:szCs w:val="20"/>
              </w:rPr>
            </w:pPr>
            <w:r w:rsidRPr="009D1440">
              <w:rPr>
                <w:rFonts w:ascii="Arial" w:hAnsi="Arial" w:cs="Arial"/>
                <w:color w:val="010000"/>
                <w:sz w:val="20"/>
              </w:rPr>
              <w:t>Other incomes</w:t>
            </w:r>
          </w:p>
        </w:tc>
        <w:tc>
          <w:tcPr>
            <w:tcW w:w="978" w:type="pct"/>
            <w:shd w:val="clear" w:color="auto" w:fill="auto"/>
            <w:tcMar>
              <w:top w:w="0" w:type="dxa"/>
              <w:bottom w:w="0" w:type="dxa"/>
            </w:tcMar>
            <w:vAlign w:val="center"/>
          </w:tcPr>
          <w:p w14:paraId="2FF8D3CE"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0.45</w:t>
            </w:r>
          </w:p>
        </w:tc>
        <w:tc>
          <w:tcPr>
            <w:tcW w:w="987" w:type="pct"/>
            <w:shd w:val="clear" w:color="auto" w:fill="auto"/>
            <w:tcMar>
              <w:top w:w="0" w:type="dxa"/>
              <w:bottom w:w="0" w:type="dxa"/>
            </w:tcMar>
            <w:vAlign w:val="center"/>
          </w:tcPr>
          <w:p w14:paraId="77E25A47"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0.47</w:t>
            </w:r>
          </w:p>
        </w:tc>
        <w:tc>
          <w:tcPr>
            <w:tcW w:w="1088" w:type="pct"/>
            <w:shd w:val="clear" w:color="auto" w:fill="auto"/>
            <w:tcMar>
              <w:top w:w="0" w:type="dxa"/>
              <w:bottom w:w="0" w:type="dxa"/>
            </w:tcMar>
            <w:vAlign w:val="center"/>
          </w:tcPr>
          <w:p w14:paraId="41AE4AD5"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2650C718" w14:textId="77777777" w:rsidTr="009028E7">
        <w:tc>
          <w:tcPr>
            <w:tcW w:w="356" w:type="pct"/>
            <w:shd w:val="clear" w:color="auto" w:fill="auto"/>
            <w:tcMar>
              <w:top w:w="0" w:type="dxa"/>
              <w:bottom w:w="0" w:type="dxa"/>
            </w:tcMar>
            <w:vAlign w:val="center"/>
          </w:tcPr>
          <w:p w14:paraId="127E7320"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3</w:t>
            </w:r>
          </w:p>
        </w:tc>
        <w:tc>
          <w:tcPr>
            <w:tcW w:w="1591" w:type="pct"/>
            <w:shd w:val="clear" w:color="auto" w:fill="auto"/>
            <w:tcMar>
              <w:top w:w="0" w:type="dxa"/>
              <w:bottom w:w="0" w:type="dxa"/>
            </w:tcMar>
            <w:vAlign w:val="center"/>
          </w:tcPr>
          <w:p w14:paraId="18134727"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Profit before tax</w:t>
            </w:r>
          </w:p>
        </w:tc>
        <w:tc>
          <w:tcPr>
            <w:tcW w:w="978" w:type="pct"/>
            <w:shd w:val="clear" w:color="auto" w:fill="auto"/>
            <w:tcMar>
              <w:top w:w="0" w:type="dxa"/>
              <w:bottom w:w="0" w:type="dxa"/>
            </w:tcMar>
            <w:vAlign w:val="center"/>
          </w:tcPr>
          <w:p w14:paraId="369D634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4EF793C2"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(19.87)</w:t>
            </w:r>
          </w:p>
        </w:tc>
        <w:tc>
          <w:tcPr>
            <w:tcW w:w="1088" w:type="pct"/>
            <w:shd w:val="clear" w:color="auto" w:fill="auto"/>
            <w:tcMar>
              <w:top w:w="0" w:type="dxa"/>
              <w:bottom w:w="0" w:type="dxa"/>
            </w:tcMar>
            <w:vAlign w:val="center"/>
          </w:tcPr>
          <w:p w14:paraId="0AEC4CF3"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62549796" w14:textId="77777777" w:rsidTr="009028E7">
        <w:tc>
          <w:tcPr>
            <w:tcW w:w="356" w:type="pct"/>
            <w:shd w:val="clear" w:color="auto" w:fill="auto"/>
            <w:tcMar>
              <w:top w:w="0" w:type="dxa"/>
              <w:bottom w:w="0" w:type="dxa"/>
            </w:tcMar>
            <w:vAlign w:val="center"/>
          </w:tcPr>
          <w:p w14:paraId="03F29BC5"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4</w:t>
            </w:r>
          </w:p>
        </w:tc>
        <w:tc>
          <w:tcPr>
            <w:tcW w:w="1591" w:type="pct"/>
            <w:shd w:val="clear" w:color="auto" w:fill="auto"/>
            <w:tcMar>
              <w:top w:w="0" w:type="dxa"/>
              <w:bottom w:w="0" w:type="dxa"/>
            </w:tcMar>
            <w:vAlign w:val="center"/>
          </w:tcPr>
          <w:p w14:paraId="0D4E82F3"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Profit after tax</w:t>
            </w:r>
          </w:p>
        </w:tc>
        <w:tc>
          <w:tcPr>
            <w:tcW w:w="978" w:type="pct"/>
            <w:shd w:val="clear" w:color="auto" w:fill="auto"/>
            <w:tcMar>
              <w:top w:w="0" w:type="dxa"/>
              <w:bottom w:w="0" w:type="dxa"/>
            </w:tcMar>
            <w:vAlign w:val="center"/>
          </w:tcPr>
          <w:p w14:paraId="18026877"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2F6E5BF2"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(19.87)</w:t>
            </w:r>
          </w:p>
        </w:tc>
        <w:tc>
          <w:tcPr>
            <w:tcW w:w="1088" w:type="pct"/>
            <w:shd w:val="clear" w:color="auto" w:fill="auto"/>
            <w:tcMar>
              <w:top w:w="0" w:type="dxa"/>
              <w:bottom w:w="0" w:type="dxa"/>
            </w:tcMar>
            <w:vAlign w:val="center"/>
          </w:tcPr>
          <w:p w14:paraId="37CA2E07"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16DFE3EF" w14:textId="77777777" w:rsidTr="009028E7">
        <w:tc>
          <w:tcPr>
            <w:tcW w:w="356" w:type="pct"/>
            <w:shd w:val="clear" w:color="auto" w:fill="auto"/>
            <w:tcMar>
              <w:top w:w="0" w:type="dxa"/>
              <w:bottom w:w="0" w:type="dxa"/>
            </w:tcMar>
            <w:vAlign w:val="center"/>
          </w:tcPr>
          <w:p w14:paraId="6248358C"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5</w:t>
            </w:r>
          </w:p>
        </w:tc>
        <w:tc>
          <w:tcPr>
            <w:tcW w:w="1591" w:type="pct"/>
            <w:shd w:val="clear" w:color="auto" w:fill="auto"/>
            <w:tcMar>
              <w:top w:w="0" w:type="dxa"/>
              <w:bottom w:w="0" w:type="dxa"/>
            </w:tcMar>
            <w:vAlign w:val="center"/>
          </w:tcPr>
          <w:p w14:paraId="073B36D2"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Payables to the State budget</w:t>
            </w:r>
          </w:p>
        </w:tc>
        <w:tc>
          <w:tcPr>
            <w:tcW w:w="978" w:type="pct"/>
            <w:shd w:val="clear" w:color="auto" w:fill="auto"/>
            <w:tcMar>
              <w:top w:w="0" w:type="dxa"/>
              <w:bottom w:w="0" w:type="dxa"/>
            </w:tcMar>
            <w:vAlign w:val="center"/>
          </w:tcPr>
          <w:p w14:paraId="05B2CC8B"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375D9117"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0.19</w:t>
            </w:r>
          </w:p>
        </w:tc>
        <w:tc>
          <w:tcPr>
            <w:tcW w:w="1088" w:type="pct"/>
            <w:shd w:val="clear" w:color="auto" w:fill="auto"/>
            <w:tcMar>
              <w:top w:w="0" w:type="dxa"/>
              <w:bottom w:w="0" w:type="dxa"/>
            </w:tcMar>
            <w:vAlign w:val="center"/>
          </w:tcPr>
          <w:p w14:paraId="1B93F9B9"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6F67C6F7" w14:textId="77777777" w:rsidTr="009028E7">
        <w:tc>
          <w:tcPr>
            <w:tcW w:w="356" w:type="pct"/>
            <w:shd w:val="clear" w:color="auto" w:fill="auto"/>
            <w:tcMar>
              <w:top w:w="0" w:type="dxa"/>
              <w:bottom w:w="0" w:type="dxa"/>
            </w:tcMar>
            <w:vAlign w:val="center"/>
          </w:tcPr>
          <w:p w14:paraId="2638045E"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6</w:t>
            </w:r>
          </w:p>
        </w:tc>
        <w:tc>
          <w:tcPr>
            <w:tcW w:w="1591" w:type="pct"/>
            <w:shd w:val="clear" w:color="auto" w:fill="auto"/>
            <w:tcMar>
              <w:top w:w="0" w:type="dxa"/>
              <w:bottom w:w="0" w:type="dxa"/>
            </w:tcMar>
            <w:vAlign w:val="center"/>
          </w:tcPr>
          <w:p w14:paraId="4E0C5AFF"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Investment value</w:t>
            </w:r>
          </w:p>
        </w:tc>
        <w:tc>
          <w:tcPr>
            <w:tcW w:w="978" w:type="pct"/>
            <w:shd w:val="clear" w:color="auto" w:fill="auto"/>
            <w:tcMar>
              <w:top w:w="0" w:type="dxa"/>
              <w:bottom w:w="0" w:type="dxa"/>
            </w:tcMar>
            <w:vAlign w:val="center"/>
          </w:tcPr>
          <w:p w14:paraId="4B0BC21A"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987" w:type="pct"/>
            <w:shd w:val="clear" w:color="auto" w:fill="auto"/>
            <w:tcMar>
              <w:top w:w="0" w:type="dxa"/>
              <w:bottom w:w="0" w:type="dxa"/>
            </w:tcMar>
            <w:vAlign w:val="center"/>
          </w:tcPr>
          <w:p w14:paraId="1D2234A4"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088" w:type="pct"/>
            <w:shd w:val="clear" w:color="auto" w:fill="auto"/>
            <w:tcMar>
              <w:top w:w="0" w:type="dxa"/>
              <w:bottom w:w="0" w:type="dxa"/>
            </w:tcMar>
            <w:vAlign w:val="center"/>
          </w:tcPr>
          <w:p w14:paraId="444A3F36"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0C55BAD0" w14:textId="77777777" w:rsidTr="009028E7">
        <w:tc>
          <w:tcPr>
            <w:tcW w:w="356" w:type="pct"/>
            <w:shd w:val="clear" w:color="auto" w:fill="auto"/>
            <w:tcMar>
              <w:top w:w="0" w:type="dxa"/>
              <w:bottom w:w="0" w:type="dxa"/>
            </w:tcMar>
            <w:vAlign w:val="center"/>
          </w:tcPr>
          <w:p w14:paraId="7B48F573"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7</w:t>
            </w:r>
          </w:p>
        </w:tc>
        <w:tc>
          <w:tcPr>
            <w:tcW w:w="1591" w:type="pct"/>
            <w:shd w:val="clear" w:color="auto" w:fill="auto"/>
            <w:tcMar>
              <w:top w:w="0" w:type="dxa"/>
              <w:bottom w:w="0" w:type="dxa"/>
            </w:tcMar>
            <w:vAlign w:val="center"/>
          </w:tcPr>
          <w:p w14:paraId="38FD4992"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Average income (million VND/person/month)</w:t>
            </w:r>
          </w:p>
        </w:tc>
        <w:tc>
          <w:tcPr>
            <w:tcW w:w="978" w:type="pct"/>
            <w:shd w:val="clear" w:color="auto" w:fill="auto"/>
            <w:tcMar>
              <w:top w:w="0" w:type="dxa"/>
              <w:bottom w:w="0" w:type="dxa"/>
            </w:tcMar>
            <w:vAlign w:val="center"/>
          </w:tcPr>
          <w:p w14:paraId="67FC2534"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7.30</w:t>
            </w:r>
          </w:p>
        </w:tc>
        <w:tc>
          <w:tcPr>
            <w:tcW w:w="987" w:type="pct"/>
            <w:shd w:val="clear" w:color="auto" w:fill="auto"/>
            <w:tcMar>
              <w:top w:w="0" w:type="dxa"/>
              <w:bottom w:w="0" w:type="dxa"/>
            </w:tcMar>
            <w:vAlign w:val="center"/>
          </w:tcPr>
          <w:p w14:paraId="4F2C1A73"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6.90</w:t>
            </w:r>
          </w:p>
        </w:tc>
        <w:tc>
          <w:tcPr>
            <w:tcW w:w="1088" w:type="pct"/>
            <w:shd w:val="clear" w:color="auto" w:fill="auto"/>
            <w:tcMar>
              <w:top w:w="0" w:type="dxa"/>
              <w:bottom w:w="0" w:type="dxa"/>
            </w:tcMar>
            <w:vAlign w:val="center"/>
          </w:tcPr>
          <w:p w14:paraId="69FF9075" w14:textId="77777777" w:rsidR="00954DAE" w:rsidRPr="009D1440" w:rsidRDefault="00F74189" w:rsidP="009028E7">
            <w:pP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95%</w:t>
            </w:r>
          </w:p>
        </w:tc>
      </w:tr>
    </w:tbl>
    <w:p w14:paraId="4FEC7D07" w14:textId="77777777" w:rsidR="00954DAE" w:rsidRPr="009D1440" w:rsidRDefault="00F74189" w:rsidP="009028E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440">
        <w:rPr>
          <w:rFonts w:ascii="Arial" w:hAnsi="Arial" w:cs="Arial"/>
          <w:color w:val="010000"/>
          <w:sz w:val="20"/>
        </w:rPr>
        <w:t xml:space="preserve">Approve the production and business plan for 2024 with the following targets: </w:t>
      </w:r>
    </w:p>
    <w:p w14:paraId="3E85499D" w14:textId="77777777" w:rsidR="00954DAE" w:rsidRPr="009D1440" w:rsidRDefault="00F74189" w:rsidP="009028E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1440">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1"/>
        <w:gridCol w:w="3256"/>
        <w:gridCol w:w="1721"/>
        <w:gridCol w:w="1226"/>
        <w:gridCol w:w="1091"/>
        <w:gridCol w:w="1262"/>
      </w:tblGrid>
      <w:tr w:rsidR="00954DAE" w:rsidRPr="009D1440" w14:paraId="6DA7EB5D" w14:textId="77777777" w:rsidTr="009028E7">
        <w:tc>
          <w:tcPr>
            <w:tcW w:w="255" w:type="pct"/>
            <w:shd w:val="clear" w:color="auto" w:fill="auto"/>
            <w:tcMar>
              <w:top w:w="0" w:type="dxa"/>
              <w:bottom w:w="0" w:type="dxa"/>
            </w:tcMar>
            <w:vAlign w:val="center"/>
          </w:tcPr>
          <w:p w14:paraId="1A65DE3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lastRenderedPageBreak/>
              <w:t>No.</w:t>
            </w:r>
          </w:p>
        </w:tc>
        <w:tc>
          <w:tcPr>
            <w:tcW w:w="1805" w:type="pct"/>
            <w:shd w:val="clear" w:color="auto" w:fill="auto"/>
            <w:tcMar>
              <w:top w:w="0" w:type="dxa"/>
              <w:bottom w:w="0" w:type="dxa"/>
            </w:tcMar>
            <w:vAlign w:val="center"/>
          </w:tcPr>
          <w:p w14:paraId="510B613D"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Targets</w:t>
            </w:r>
          </w:p>
        </w:tc>
        <w:tc>
          <w:tcPr>
            <w:tcW w:w="954" w:type="pct"/>
            <w:shd w:val="clear" w:color="auto" w:fill="auto"/>
            <w:tcMar>
              <w:top w:w="0" w:type="dxa"/>
              <w:bottom w:w="0" w:type="dxa"/>
            </w:tcMar>
            <w:vAlign w:val="center"/>
          </w:tcPr>
          <w:p w14:paraId="3C9E38E7"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Unit</w:t>
            </w:r>
          </w:p>
        </w:tc>
        <w:tc>
          <w:tcPr>
            <w:tcW w:w="680" w:type="pct"/>
            <w:shd w:val="clear" w:color="auto" w:fill="auto"/>
            <w:tcMar>
              <w:top w:w="0" w:type="dxa"/>
              <w:bottom w:w="0" w:type="dxa"/>
            </w:tcMar>
            <w:vAlign w:val="center"/>
          </w:tcPr>
          <w:p w14:paraId="1CF9C44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Results 2023</w:t>
            </w:r>
          </w:p>
        </w:tc>
        <w:tc>
          <w:tcPr>
            <w:tcW w:w="605" w:type="pct"/>
            <w:shd w:val="clear" w:color="auto" w:fill="auto"/>
            <w:tcMar>
              <w:top w:w="0" w:type="dxa"/>
              <w:bottom w:w="0" w:type="dxa"/>
            </w:tcMar>
            <w:vAlign w:val="center"/>
          </w:tcPr>
          <w:p w14:paraId="34EC4AF0"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Plan 2024</w:t>
            </w:r>
          </w:p>
        </w:tc>
        <w:tc>
          <w:tcPr>
            <w:tcW w:w="700" w:type="pct"/>
            <w:shd w:val="clear" w:color="auto" w:fill="auto"/>
            <w:tcMar>
              <w:top w:w="0" w:type="dxa"/>
              <w:bottom w:w="0" w:type="dxa"/>
            </w:tcMar>
            <w:vAlign w:val="center"/>
          </w:tcPr>
          <w:p w14:paraId="68039CE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Compared to that in 2023 (%)</w:t>
            </w:r>
          </w:p>
        </w:tc>
      </w:tr>
      <w:tr w:rsidR="00954DAE" w:rsidRPr="009D1440" w14:paraId="79E1652B" w14:textId="77777777" w:rsidTr="009028E7">
        <w:tc>
          <w:tcPr>
            <w:tcW w:w="255" w:type="pct"/>
            <w:shd w:val="clear" w:color="auto" w:fill="auto"/>
            <w:tcMar>
              <w:top w:w="0" w:type="dxa"/>
              <w:bottom w:w="0" w:type="dxa"/>
            </w:tcMar>
            <w:vAlign w:val="center"/>
          </w:tcPr>
          <w:p w14:paraId="5DFD429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w:t>
            </w:r>
          </w:p>
        </w:tc>
        <w:tc>
          <w:tcPr>
            <w:tcW w:w="1805" w:type="pct"/>
            <w:shd w:val="clear" w:color="auto" w:fill="auto"/>
            <w:tcMar>
              <w:top w:w="0" w:type="dxa"/>
              <w:bottom w:w="0" w:type="dxa"/>
            </w:tcMar>
            <w:vAlign w:val="center"/>
          </w:tcPr>
          <w:p w14:paraId="57F1C712"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Charter capital</w:t>
            </w:r>
          </w:p>
        </w:tc>
        <w:tc>
          <w:tcPr>
            <w:tcW w:w="954" w:type="pct"/>
            <w:shd w:val="clear" w:color="auto" w:fill="auto"/>
            <w:tcMar>
              <w:top w:w="0" w:type="dxa"/>
              <w:bottom w:w="0" w:type="dxa"/>
            </w:tcMar>
            <w:vAlign w:val="center"/>
          </w:tcPr>
          <w:p w14:paraId="716EDA4C"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44B990DE"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605" w:type="pct"/>
            <w:shd w:val="clear" w:color="auto" w:fill="auto"/>
            <w:tcMar>
              <w:top w:w="0" w:type="dxa"/>
              <w:bottom w:w="0" w:type="dxa"/>
            </w:tcMar>
            <w:vAlign w:val="center"/>
          </w:tcPr>
          <w:p w14:paraId="1DF766D9"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700" w:type="pct"/>
            <w:shd w:val="clear" w:color="auto" w:fill="auto"/>
            <w:tcMar>
              <w:top w:w="0" w:type="dxa"/>
              <w:bottom w:w="0" w:type="dxa"/>
            </w:tcMar>
            <w:vAlign w:val="center"/>
          </w:tcPr>
          <w:p w14:paraId="37315046"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72E18D07" w14:textId="77777777" w:rsidTr="009028E7">
        <w:tc>
          <w:tcPr>
            <w:tcW w:w="255" w:type="pct"/>
            <w:shd w:val="clear" w:color="auto" w:fill="auto"/>
            <w:tcMar>
              <w:top w:w="0" w:type="dxa"/>
              <w:bottom w:w="0" w:type="dxa"/>
            </w:tcMar>
            <w:vAlign w:val="center"/>
          </w:tcPr>
          <w:p w14:paraId="56F3175C"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46D3FE43"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Beginning of the year</w:t>
            </w:r>
          </w:p>
        </w:tc>
        <w:tc>
          <w:tcPr>
            <w:tcW w:w="954" w:type="pct"/>
            <w:shd w:val="clear" w:color="auto" w:fill="auto"/>
            <w:tcMar>
              <w:top w:w="0" w:type="dxa"/>
              <w:bottom w:w="0" w:type="dxa"/>
            </w:tcMar>
            <w:vAlign w:val="center"/>
          </w:tcPr>
          <w:p w14:paraId="4DCE2203"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77FBA67A"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150.00</w:t>
            </w:r>
          </w:p>
        </w:tc>
        <w:tc>
          <w:tcPr>
            <w:tcW w:w="605" w:type="pct"/>
            <w:shd w:val="clear" w:color="auto" w:fill="auto"/>
            <w:tcMar>
              <w:top w:w="0" w:type="dxa"/>
              <w:bottom w:w="0" w:type="dxa"/>
            </w:tcMar>
            <w:vAlign w:val="center"/>
          </w:tcPr>
          <w:p w14:paraId="0C2E8AEA"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150.00</w:t>
            </w:r>
          </w:p>
        </w:tc>
        <w:tc>
          <w:tcPr>
            <w:tcW w:w="700" w:type="pct"/>
            <w:shd w:val="clear" w:color="auto" w:fill="auto"/>
            <w:tcMar>
              <w:top w:w="0" w:type="dxa"/>
              <w:bottom w:w="0" w:type="dxa"/>
            </w:tcMar>
            <w:vAlign w:val="center"/>
          </w:tcPr>
          <w:p w14:paraId="7093D865"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100%</w:t>
            </w:r>
          </w:p>
        </w:tc>
      </w:tr>
      <w:tr w:rsidR="00954DAE" w:rsidRPr="009D1440" w14:paraId="0B92FA0B" w14:textId="77777777" w:rsidTr="009028E7">
        <w:tc>
          <w:tcPr>
            <w:tcW w:w="255" w:type="pct"/>
            <w:shd w:val="clear" w:color="auto" w:fill="auto"/>
            <w:tcMar>
              <w:top w:w="0" w:type="dxa"/>
              <w:bottom w:w="0" w:type="dxa"/>
            </w:tcMar>
            <w:vAlign w:val="center"/>
          </w:tcPr>
          <w:p w14:paraId="51EC4CF0"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715075B7"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Ending of the year</w:t>
            </w:r>
          </w:p>
        </w:tc>
        <w:tc>
          <w:tcPr>
            <w:tcW w:w="954" w:type="pct"/>
            <w:shd w:val="clear" w:color="auto" w:fill="auto"/>
            <w:tcMar>
              <w:top w:w="0" w:type="dxa"/>
              <w:bottom w:w="0" w:type="dxa"/>
            </w:tcMar>
            <w:vAlign w:val="center"/>
          </w:tcPr>
          <w:p w14:paraId="36C0E837"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21994DD7"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150.00</w:t>
            </w:r>
          </w:p>
        </w:tc>
        <w:tc>
          <w:tcPr>
            <w:tcW w:w="605" w:type="pct"/>
            <w:shd w:val="clear" w:color="auto" w:fill="auto"/>
            <w:tcMar>
              <w:top w:w="0" w:type="dxa"/>
              <w:bottom w:w="0" w:type="dxa"/>
            </w:tcMar>
            <w:vAlign w:val="center"/>
          </w:tcPr>
          <w:p w14:paraId="114BEC01"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150.00</w:t>
            </w:r>
          </w:p>
        </w:tc>
        <w:tc>
          <w:tcPr>
            <w:tcW w:w="700" w:type="pct"/>
            <w:shd w:val="clear" w:color="auto" w:fill="auto"/>
            <w:tcMar>
              <w:top w:w="0" w:type="dxa"/>
              <w:bottom w:w="0" w:type="dxa"/>
            </w:tcMar>
            <w:vAlign w:val="center"/>
          </w:tcPr>
          <w:p w14:paraId="28A98D00"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100%</w:t>
            </w:r>
          </w:p>
        </w:tc>
      </w:tr>
      <w:tr w:rsidR="00954DAE" w:rsidRPr="009D1440" w14:paraId="7D0C7C7E" w14:textId="77777777" w:rsidTr="009028E7">
        <w:tc>
          <w:tcPr>
            <w:tcW w:w="255" w:type="pct"/>
            <w:shd w:val="clear" w:color="auto" w:fill="auto"/>
            <w:tcMar>
              <w:top w:w="0" w:type="dxa"/>
              <w:bottom w:w="0" w:type="dxa"/>
            </w:tcMar>
            <w:vAlign w:val="center"/>
          </w:tcPr>
          <w:p w14:paraId="208F1E96"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w:t>
            </w:r>
          </w:p>
        </w:tc>
        <w:tc>
          <w:tcPr>
            <w:tcW w:w="1805" w:type="pct"/>
            <w:shd w:val="clear" w:color="auto" w:fill="auto"/>
            <w:tcMar>
              <w:top w:w="0" w:type="dxa"/>
              <w:bottom w:w="0" w:type="dxa"/>
            </w:tcMar>
            <w:vAlign w:val="center"/>
          </w:tcPr>
          <w:p w14:paraId="2D9528E0"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Production and business value:</w:t>
            </w:r>
          </w:p>
        </w:tc>
        <w:tc>
          <w:tcPr>
            <w:tcW w:w="954" w:type="pct"/>
            <w:shd w:val="clear" w:color="auto" w:fill="auto"/>
            <w:tcMar>
              <w:top w:w="0" w:type="dxa"/>
              <w:bottom w:w="0" w:type="dxa"/>
            </w:tcMar>
            <w:vAlign w:val="center"/>
          </w:tcPr>
          <w:p w14:paraId="4E4DDEA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1C64BA17"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2.00</w:t>
            </w:r>
          </w:p>
        </w:tc>
        <w:tc>
          <w:tcPr>
            <w:tcW w:w="605" w:type="pct"/>
            <w:shd w:val="clear" w:color="auto" w:fill="auto"/>
            <w:tcMar>
              <w:top w:w="0" w:type="dxa"/>
              <w:bottom w:w="0" w:type="dxa"/>
            </w:tcMar>
            <w:vAlign w:val="center"/>
          </w:tcPr>
          <w:p w14:paraId="5F43C804"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2.34</w:t>
            </w:r>
          </w:p>
        </w:tc>
        <w:tc>
          <w:tcPr>
            <w:tcW w:w="700" w:type="pct"/>
            <w:shd w:val="clear" w:color="auto" w:fill="auto"/>
            <w:tcMar>
              <w:top w:w="0" w:type="dxa"/>
              <w:bottom w:w="0" w:type="dxa"/>
            </w:tcMar>
            <w:vAlign w:val="center"/>
          </w:tcPr>
          <w:p w14:paraId="465D1C1E"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117%</w:t>
            </w:r>
          </w:p>
        </w:tc>
      </w:tr>
      <w:tr w:rsidR="00954DAE" w:rsidRPr="009D1440" w14:paraId="5BB11671" w14:textId="77777777" w:rsidTr="009028E7">
        <w:tc>
          <w:tcPr>
            <w:tcW w:w="255" w:type="pct"/>
            <w:shd w:val="clear" w:color="auto" w:fill="auto"/>
            <w:tcMar>
              <w:top w:w="0" w:type="dxa"/>
              <w:bottom w:w="0" w:type="dxa"/>
            </w:tcMar>
            <w:vAlign w:val="center"/>
          </w:tcPr>
          <w:p w14:paraId="6310E68E"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1A69CE4C"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Construction and installation</w:t>
            </w:r>
          </w:p>
        </w:tc>
        <w:tc>
          <w:tcPr>
            <w:tcW w:w="954" w:type="pct"/>
            <w:shd w:val="clear" w:color="auto" w:fill="auto"/>
            <w:tcMar>
              <w:top w:w="0" w:type="dxa"/>
              <w:bottom w:w="0" w:type="dxa"/>
            </w:tcMar>
            <w:vAlign w:val="center"/>
          </w:tcPr>
          <w:p w14:paraId="681C04F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15F82D69"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605" w:type="pct"/>
            <w:shd w:val="clear" w:color="auto" w:fill="auto"/>
            <w:tcMar>
              <w:top w:w="0" w:type="dxa"/>
              <w:bottom w:w="0" w:type="dxa"/>
            </w:tcMar>
            <w:vAlign w:val="center"/>
          </w:tcPr>
          <w:p w14:paraId="6CF2E444"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700" w:type="pct"/>
            <w:shd w:val="clear" w:color="auto" w:fill="auto"/>
            <w:tcMar>
              <w:top w:w="0" w:type="dxa"/>
              <w:bottom w:w="0" w:type="dxa"/>
            </w:tcMar>
            <w:vAlign w:val="center"/>
          </w:tcPr>
          <w:p w14:paraId="3D2BFDB6"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7FC4DA7A" w14:textId="77777777" w:rsidTr="009028E7">
        <w:tc>
          <w:tcPr>
            <w:tcW w:w="255" w:type="pct"/>
            <w:shd w:val="clear" w:color="auto" w:fill="auto"/>
            <w:tcMar>
              <w:top w:w="0" w:type="dxa"/>
              <w:bottom w:w="0" w:type="dxa"/>
            </w:tcMar>
            <w:vAlign w:val="center"/>
          </w:tcPr>
          <w:p w14:paraId="33B6D966"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08BEEA8F"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Other than construction and installation</w:t>
            </w:r>
          </w:p>
        </w:tc>
        <w:tc>
          <w:tcPr>
            <w:tcW w:w="954" w:type="pct"/>
            <w:shd w:val="clear" w:color="auto" w:fill="auto"/>
            <w:tcMar>
              <w:top w:w="0" w:type="dxa"/>
              <w:bottom w:w="0" w:type="dxa"/>
            </w:tcMar>
            <w:vAlign w:val="center"/>
          </w:tcPr>
          <w:p w14:paraId="1F3934E3"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70AEA022"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1.49</w:t>
            </w:r>
          </w:p>
        </w:tc>
        <w:tc>
          <w:tcPr>
            <w:tcW w:w="605" w:type="pct"/>
            <w:shd w:val="clear" w:color="auto" w:fill="auto"/>
            <w:tcMar>
              <w:top w:w="0" w:type="dxa"/>
              <w:bottom w:w="0" w:type="dxa"/>
            </w:tcMar>
            <w:vAlign w:val="center"/>
          </w:tcPr>
          <w:p w14:paraId="764236FA"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1.84</w:t>
            </w:r>
          </w:p>
        </w:tc>
        <w:tc>
          <w:tcPr>
            <w:tcW w:w="700" w:type="pct"/>
            <w:shd w:val="clear" w:color="auto" w:fill="auto"/>
            <w:tcMar>
              <w:top w:w="0" w:type="dxa"/>
              <w:bottom w:w="0" w:type="dxa"/>
            </w:tcMar>
            <w:vAlign w:val="center"/>
          </w:tcPr>
          <w:p w14:paraId="6544141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50307A5C" w14:textId="77777777" w:rsidTr="009028E7">
        <w:tc>
          <w:tcPr>
            <w:tcW w:w="255" w:type="pct"/>
            <w:shd w:val="clear" w:color="auto" w:fill="auto"/>
            <w:tcMar>
              <w:top w:w="0" w:type="dxa"/>
              <w:bottom w:w="0" w:type="dxa"/>
            </w:tcMar>
            <w:vAlign w:val="center"/>
          </w:tcPr>
          <w:p w14:paraId="3DFE65C5"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6392FC53"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Financial activities</w:t>
            </w:r>
          </w:p>
        </w:tc>
        <w:tc>
          <w:tcPr>
            <w:tcW w:w="954" w:type="pct"/>
            <w:shd w:val="clear" w:color="auto" w:fill="auto"/>
            <w:tcMar>
              <w:top w:w="0" w:type="dxa"/>
              <w:bottom w:w="0" w:type="dxa"/>
            </w:tcMar>
            <w:vAlign w:val="center"/>
          </w:tcPr>
          <w:p w14:paraId="18E6DA1D"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6B4A5BD4"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605" w:type="pct"/>
            <w:shd w:val="clear" w:color="auto" w:fill="auto"/>
            <w:tcMar>
              <w:top w:w="0" w:type="dxa"/>
              <w:bottom w:w="0" w:type="dxa"/>
            </w:tcMar>
            <w:vAlign w:val="center"/>
          </w:tcPr>
          <w:p w14:paraId="1EB1D74B"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700" w:type="pct"/>
            <w:shd w:val="clear" w:color="auto" w:fill="auto"/>
            <w:tcMar>
              <w:top w:w="0" w:type="dxa"/>
              <w:bottom w:w="0" w:type="dxa"/>
            </w:tcMar>
            <w:vAlign w:val="center"/>
          </w:tcPr>
          <w:p w14:paraId="279D14B7"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1C1CC74C" w14:textId="77777777" w:rsidTr="009028E7">
        <w:tc>
          <w:tcPr>
            <w:tcW w:w="255" w:type="pct"/>
            <w:shd w:val="clear" w:color="auto" w:fill="auto"/>
            <w:tcMar>
              <w:top w:w="0" w:type="dxa"/>
              <w:bottom w:w="0" w:type="dxa"/>
            </w:tcMar>
            <w:vAlign w:val="center"/>
          </w:tcPr>
          <w:p w14:paraId="6ED2F901"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2EA7968C"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Other incomes</w:t>
            </w:r>
          </w:p>
        </w:tc>
        <w:tc>
          <w:tcPr>
            <w:tcW w:w="954" w:type="pct"/>
            <w:shd w:val="clear" w:color="auto" w:fill="auto"/>
            <w:tcMar>
              <w:top w:w="0" w:type="dxa"/>
              <w:bottom w:w="0" w:type="dxa"/>
            </w:tcMar>
            <w:vAlign w:val="center"/>
          </w:tcPr>
          <w:p w14:paraId="6E474403"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3F09080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0.51</w:t>
            </w:r>
          </w:p>
        </w:tc>
        <w:tc>
          <w:tcPr>
            <w:tcW w:w="605" w:type="pct"/>
            <w:shd w:val="clear" w:color="auto" w:fill="auto"/>
            <w:tcMar>
              <w:top w:w="0" w:type="dxa"/>
              <w:bottom w:w="0" w:type="dxa"/>
            </w:tcMar>
            <w:vAlign w:val="center"/>
          </w:tcPr>
          <w:p w14:paraId="58868FF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0.5</w:t>
            </w:r>
          </w:p>
        </w:tc>
        <w:tc>
          <w:tcPr>
            <w:tcW w:w="700" w:type="pct"/>
            <w:shd w:val="clear" w:color="auto" w:fill="auto"/>
            <w:tcMar>
              <w:top w:w="0" w:type="dxa"/>
              <w:bottom w:w="0" w:type="dxa"/>
            </w:tcMar>
            <w:vAlign w:val="center"/>
          </w:tcPr>
          <w:p w14:paraId="3D4F0919"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464C3710" w14:textId="77777777" w:rsidTr="009028E7">
        <w:tc>
          <w:tcPr>
            <w:tcW w:w="255" w:type="pct"/>
            <w:shd w:val="clear" w:color="auto" w:fill="auto"/>
            <w:tcMar>
              <w:top w:w="0" w:type="dxa"/>
              <w:bottom w:w="0" w:type="dxa"/>
            </w:tcMar>
            <w:vAlign w:val="center"/>
          </w:tcPr>
          <w:p w14:paraId="17165F77"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3</w:t>
            </w:r>
          </w:p>
        </w:tc>
        <w:tc>
          <w:tcPr>
            <w:tcW w:w="1805" w:type="pct"/>
            <w:shd w:val="clear" w:color="auto" w:fill="auto"/>
            <w:tcMar>
              <w:top w:w="0" w:type="dxa"/>
              <w:bottom w:w="0" w:type="dxa"/>
            </w:tcMar>
            <w:vAlign w:val="center"/>
          </w:tcPr>
          <w:p w14:paraId="50591C31"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Total revenue</w:t>
            </w:r>
          </w:p>
        </w:tc>
        <w:tc>
          <w:tcPr>
            <w:tcW w:w="954" w:type="pct"/>
            <w:shd w:val="clear" w:color="auto" w:fill="auto"/>
            <w:tcMar>
              <w:top w:w="0" w:type="dxa"/>
              <w:bottom w:w="0" w:type="dxa"/>
            </w:tcMar>
            <w:vAlign w:val="center"/>
          </w:tcPr>
          <w:p w14:paraId="059B53FA"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32F15EE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1.85</w:t>
            </w:r>
          </w:p>
        </w:tc>
        <w:tc>
          <w:tcPr>
            <w:tcW w:w="605" w:type="pct"/>
            <w:shd w:val="clear" w:color="auto" w:fill="auto"/>
            <w:tcMar>
              <w:top w:w="0" w:type="dxa"/>
              <w:bottom w:w="0" w:type="dxa"/>
            </w:tcMar>
            <w:vAlign w:val="center"/>
          </w:tcPr>
          <w:p w14:paraId="70D3CABE"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2.17</w:t>
            </w:r>
          </w:p>
        </w:tc>
        <w:tc>
          <w:tcPr>
            <w:tcW w:w="700" w:type="pct"/>
            <w:shd w:val="clear" w:color="auto" w:fill="auto"/>
            <w:tcMar>
              <w:top w:w="0" w:type="dxa"/>
              <w:bottom w:w="0" w:type="dxa"/>
            </w:tcMar>
            <w:vAlign w:val="center"/>
          </w:tcPr>
          <w:p w14:paraId="0815C5A6"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117%</w:t>
            </w:r>
          </w:p>
        </w:tc>
      </w:tr>
      <w:tr w:rsidR="00954DAE" w:rsidRPr="009D1440" w14:paraId="1B1A926C" w14:textId="77777777" w:rsidTr="009028E7">
        <w:tc>
          <w:tcPr>
            <w:tcW w:w="255" w:type="pct"/>
            <w:shd w:val="clear" w:color="auto" w:fill="auto"/>
            <w:tcMar>
              <w:top w:w="0" w:type="dxa"/>
              <w:bottom w:w="0" w:type="dxa"/>
            </w:tcMar>
            <w:vAlign w:val="center"/>
          </w:tcPr>
          <w:p w14:paraId="74E93EC5"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331A033A"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Construction and installation</w:t>
            </w:r>
          </w:p>
        </w:tc>
        <w:tc>
          <w:tcPr>
            <w:tcW w:w="954" w:type="pct"/>
            <w:shd w:val="clear" w:color="auto" w:fill="auto"/>
            <w:tcMar>
              <w:top w:w="0" w:type="dxa"/>
              <w:bottom w:w="0" w:type="dxa"/>
            </w:tcMar>
            <w:vAlign w:val="center"/>
          </w:tcPr>
          <w:p w14:paraId="07FAA50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359AF3E3"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605" w:type="pct"/>
            <w:shd w:val="clear" w:color="auto" w:fill="auto"/>
            <w:tcMar>
              <w:top w:w="0" w:type="dxa"/>
              <w:bottom w:w="0" w:type="dxa"/>
            </w:tcMar>
            <w:vAlign w:val="center"/>
          </w:tcPr>
          <w:p w14:paraId="148B113A"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700" w:type="pct"/>
            <w:shd w:val="clear" w:color="auto" w:fill="auto"/>
            <w:tcMar>
              <w:top w:w="0" w:type="dxa"/>
              <w:bottom w:w="0" w:type="dxa"/>
            </w:tcMar>
            <w:vAlign w:val="center"/>
          </w:tcPr>
          <w:p w14:paraId="362095AB"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2B3F161D" w14:textId="77777777" w:rsidTr="009028E7">
        <w:tc>
          <w:tcPr>
            <w:tcW w:w="255" w:type="pct"/>
            <w:shd w:val="clear" w:color="auto" w:fill="auto"/>
            <w:tcMar>
              <w:top w:w="0" w:type="dxa"/>
              <w:bottom w:w="0" w:type="dxa"/>
            </w:tcMar>
            <w:vAlign w:val="center"/>
          </w:tcPr>
          <w:p w14:paraId="656FEFC8"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124EAE7D"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Other than construction and installation</w:t>
            </w:r>
          </w:p>
        </w:tc>
        <w:tc>
          <w:tcPr>
            <w:tcW w:w="954" w:type="pct"/>
            <w:shd w:val="clear" w:color="auto" w:fill="auto"/>
            <w:tcMar>
              <w:top w:w="0" w:type="dxa"/>
              <w:bottom w:w="0" w:type="dxa"/>
            </w:tcMar>
            <w:vAlign w:val="center"/>
          </w:tcPr>
          <w:p w14:paraId="6F88BB49"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6B85E377"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1.38</w:t>
            </w:r>
          </w:p>
        </w:tc>
        <w:tc>
          <w:tcPr>
            <w:tcW w:w="605" w:type="pct"/>
            <w:shd w:val="clear" w:color="auto" w:fill="auto"/>
            <w:tcMar>
              <w:top w:w="0" w:type="dxa"/>
              <w:bottom w:w="0" w:type="dxa"/>
            </w:tcMar>
            <w:vAlign w:val="center"/>
          </w:tcPr>
          <w:p w14:paraId="0A74477E"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1.7</w:t>
            </w:r>
          </w:p>
        </w:tc>
        <w:tc>
          <w:tcPr>
            <w:tcW w:w="700" w:type="pct"/>
            <w:shd w:val="clear" w:color="auto" w:fill="auto"/>
            <w:tcMar>
              <w:top w:w="0" w:type="dxa"/>
              <w:bottom w:w="0" w:type="dxa"/>
            </w:tcMar>
            <w:vAlign w:val="center"/>
          </w:tcPr>
          <w:p w14:paraId="29E7589C"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74937763" w14:textId="77777777" w:rsidTr="009028E7">
        <w:tc>
          <w:tcPr>
            <w:tcW w:w="255" w:type="pct"/>
            <w:shd w:val="clear" w:color="auto" w:fill="auto"/>
            <w:tcMar>
              <w:top w:w="0" w:type="dxa"/>
              <w:bottom w:w="0" w:type="dxa"/>
            </w:tcMar>
            <w:vAlign w:val="center"/>
          </w:tcPr>
          <w:p w14:paraId="2E402E47"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6F3C282A"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Financial activities</w:t>
            </w:r>
          </w:p>
        </w:tc>
        <w:tc>
          <w:tcPr>
            <w:tcW w:w="954" w:type="pct"/>
            <w:shd w:val="clear" w:color="auto" w:fill="auto"/>
            <w:tcMar>
              <w:top w:w="0" w:type="dxa"/>
              <w:bottom w:w="0" w:type="dxa"/>
            </w:tcMar>
            <w:vAlign w:val="center"/>
          </w:tcPr>
          <w:p w14:paraId="71DDD34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660067D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605" w:type="pct"/>
            <w:shd w:val="clear" w:color="auto" w:fill="auto"/>
            <w:tcMar>
              <w:top w:w="0" w:type="dxa"/>
              <w:bottom w:w="0" w:type="dxa"/>
            </w:tcMar>
            <w:vAlign w:val="center"/>
          </w:tcPr>
          <w:p w14:paraId="389DBEB0"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700" w:type="pct"/>
            <w:shd w:val="clear" w:color="auto" w:fill="auto"/>
            <w:tcMar>
              <w:top w:w="0" w:type="dxa"/>
              <w:bottom w:w="0" w:type="dxa"/>
            </w:tcMar>
            <w:vAlign w:val="center"/>
          </w:tcPr>
          <w:p w14:paraId="16A93643"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2A7A97D4" w14:textId="77777777" w:rsidTr="009028E7">
        <w:tc>
          <w:tcPr>
            <w:tcW w:w="255" w:type="pct"/>
            <w:shd w:val="clear" w:color="auto" w:fill="auto"/>
            <w:tcMar>
              <w:top w:w="0" w:type="dxa"/>
              <w:bottom w:w="0" w:type="dxa"/>
            </w:tcMar>
            <w:vAlign w:val="center"/>
          </w:tcPr>
          <w:p w14:paraId="58580301"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1805" w:type="pct"/>
            <w:shd w:val="clear" w:color="auto" w:fill="auto"/>
            <w:tcMar>
              <w:top w:w="0" w:type="dxa"/>
              <w:bottom w:w="0" w:type="dxa"/>
            </w:tcMar>
            <w:vAlign w:val="center"/>
          </w:tcPr>
          <w:p w14:paraId="437828E3" w14:textId="77777777" w:rsidR="00954DAE" w:rsidRPr="009D1440" w:rsidRDefault="00F74189" w:rsidP="009028E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440">
              <w:rPr>
                <w:rFonts w:ascii="Arial" w:hAnsi="Arial" w:cs="Arial"/>
                <w:color w:val="010000"/>
                <w:sz w:val="20"/>
              </w:rPr>
              <w:t>Other incomes</w:t>
            </w:r>
          </w:p>
        </w:tc>
        <w:tc>
          <w:tcPr>
            <w:tcW w:w="954" w:type="pct"/>
            <w:shd w:val="clear" w:color="auto" w:fill="auto"/>
            <w:tcMar>
              <w:top w:w="0" w:type="dxa"/>
              <w:bottom w:w="0" w:type="dxa"/>
            </w:tcMar>
            <w:vAlign w:val="center"/>
          </w:tcPr>
          <w:p w14:paraId="73C5590A"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74F5C6E5"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0.47</w:t>
            </w:r>
          </w:p>
        </w:tc>
        <w:tc>
          <w:tcPr>
            <w:tcW w:w="605" w:type="pct"/>
            <w:shd w:val="clear" w:color="auto" w:fill="auto"/>
            <w:tcMar>
              <w:top w:w="0" w:type="dxa"/>
              <w:bottom w:w="0" w:type="dxa"/>
            </w:tcMar>
            <w:vAlign w:val="center"/>
          </w:tcPr>
          <w:p w14:paraId="13DC3F8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0.47</w:t>
            </w:r>
          </w:p>
        </w:tc>
        <w:tc>
          <w:tcPr>
            <w:tcW w:w="700" w:type="pct"/>
            <w:shd w:val="clear" w:color="auto" w:fill="auto"/>
            <w:tcMar>
              <w:top w:w="0" w:type="dxa"/>
              <w:bottom w:w="0" w:type="dxa"/>
            </w:tcMar>
            <w:vAlign w:val="center"/>
          </w:tcPr>
          <w:p w14:paraId="037E972F"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4878BFBE" w14:textId="77777777" w:rsidTr="009028E7">
        <w:tc>
          <w:tcPr>
            <w:tcW w:w="255" w:type="pct"/>
            <w:shd w:val="clear" w:color="auto" w:fill="auto"/>
            <w:tcMar>
              <w:top w:w="0" w:type="dxa"/>
              <w:bottom w:w="0" w:type="dxa"/>
            </w:tcMar>
            <w:vAlign w:val="center"/>
          </w:tcPr>
          <w:p w14:paraId="3C1F6AD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4</w:t>
            </w:r>
          </w:p>
        </w:tc>
        <w:tc>
          <w:tcPr>
            <w:tcW w:w="1805" w:type="pct"/>
            <w:shd w:val="clear" w:color="auto" w:fill="auto"/>
            <w:tcMar>
              <w:top w:w="0" w:type="dxa"/>
              <w:bottom w:w="0" w:type="dxa"/>
            </w:tcMar>
            <w:vAlign w:val="center"/>
          </w:tcPr>
          <w:p w14:paraId="1C53B219"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Profit before tax</w:t>
            </w:r>
          </w:p>
        </w:tc>
        <w:tc>
          <w:tcPr>
            <w:tcW w:w="954" w:type="pct"/>
            <w:shd w:val="clear" w:color="auto" w:fill="auto"/>
            <w:tcMar>
              <w:top w:w="0" w:type="dxa"/>
              <w:bottom w:w="0" w:type="dxa"/>
            </w:tcMar>
            <w:vAlign w:val="center"/>
          </w:tcPr>
          <w:p w14:paraId="51E42EB1"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39E00C53"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(19.87)</w:t>
            </w:r>
          </w:p>
        </w:tc>
        <w:tc>
          <w:tcPr>
            <w:tcW w:w="605" w:type="pct"/>
            <w:shd w:val="clear" w:color="auto" w:fill="auto"/>
            <w:tcMar>
              <w:top w:w="0" w:type="dxa"/>
              <w:bottom w:w="0" w:type="dxa"/>
            </w:tcMar>
            <w:vAlign w:val="center"/>
          </w:tcPr>
          <w:p w14:paraId="6345A5B1"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700" w:type="pct"/>
            <w:shd w:val="clear" w:color="auto" w:fill="auto"/>
            <w:tcMar>
              <w:top w:w="0" w:type="dxa"/>
              <w:bottom w:w="0" w:type="dxa"/>
            </w:tcMar>
            <w:vAlign w:val="center"/>
          </w:tcPr>
          <w:p w14:paraId="01F25377"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734F1C05" w14:textId="77777777" w:rsidTr="009028E7">
        <w:tc>
          <w:tcPr>
            <w:tcW w:w="255" w:type="pct"/>
            <w:shd w:val="clear" w:color="auto" w:fill="auto"/>
            <w:tcMar>
              <w:top w:w="0" w:type="dxa"/>
              <w:bottom w:w="0" w:type="dxa"/>
            </w:tcMar>
            <w:vAlign w:val="center"/>
          </w:tcPr>
          <w:p w14:paraId="5B60A8C0"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5</w:t>
            </w:r>
          </w:p>
        </w:tc>
        <w:tc>
          <w:tcPr>
            <w:tcW w:w="1805" w:type="pct"/>
            <w:shd w:val="clear" w:color="auto" w:fill="auto"/>
            <w:tcMar>
              <w:top w:w="0" w:type="dxa"/>
              <w:bottom w:w="0" w:type="dxa"/>
            </w:tcMar>
            <w:vAlign w:val="center"/>
          </w:tcPr>
          <w:p w14:paraId="2636BE98"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Profit after tax</w:t>
            </w:r>
          </w:p>
        </w:tc>
        <w:tc>
          <w:tcPr>
            <w:tcW w:w="954" w:type="pct"/>
            <w:shd w:val="clear" w:color="auto" w:fill="auto"/>
            <w:tcMar>
              <w:top w:w="0" w:type="dxa"/>
              <w:bottom w:w="0" w:type="dxa"/>
            </w:tcMar>
            <w:vAlign w:val="center"/>
          </w:tcPr>
          <w:p w14:paraId="1D3A95D4"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6B9299DD"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(19.87)</w:t>
            </w:r>
          </w:p>
        </w:tc>
        <w:tc>
          <w:tcPr>
            <w:tcW w:w="605" w:type="pct"/>
            <w:shd w:val="clear" w:color="auto" w:fill="auto"/>
            <w:tcMar>
              <w:top w:w="0" w:type="dxa"/>
              <w:bottom w:w="0" w:type="dxa"/>
            </w:tcMar>
            <w:vAlign w:val="center"/>
          </w:tcPr>
          <w:p w14:paraId="7225A7CC"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c>
          <w:tcPr>
            <w:tcW w:w="700" w:type="pct"/>
            <w:shd w:val="clear" w:color="auto" w:fill="auto"/>
            <w:tcMar>
              <w:top w:w="0" w:type="dxa"/>
              <w:bottom w:w="0" w:type="dxa"/>
            </w:tcMar>
            <w:vAlign w:val="center"/>
          </w:tcPr>
          <w:p w14:paraId="29A32855" w14:textId="77777777" w:rsidR="00954DAE" w:rsidRPr="009D1440" w:rsidRDefault="00954DAE" w:rsidP="009028E7">
            <w:pPr>
              <w:tabs>
                <w:tab w:val="left" w:pos="432"/>
              </w:tabs>
              <w:spacing w:after="120" w:line="360" w:lineRule="auto"/>
              <w:rPr>
                <w:rFonts w:ascii="Arial" w:eastAsia="Arial" w:hAnsi="Arial" w:cs="Arial"/>
                <w:color w:val="010000"/>
                <w:sz w:val="20"/>
                <w:szCs w:val="20"/>
              </w:rPr>
            </w:pPr>
          </w:p>
        </w:tc>
      </w:tr>
      <w:tr w:rsidR="00954DAE" w:rsidRPr="009D1440" w14:paraId="1080AF15" w14:textId="77777777" w:rsidTr="009028E7">
        <w:tc>
          <w:tcPr>
            <w:tcW w:w="255" w:type="pct"/>
            <w:shd w:val="clear" w:color="auto" w:fill="auto"/>
            <w:tcMar>
              <w:top w:w="0" w:type="dxa"/>
              <w:bottom w:w="0" w:type="dxa"/>
            </w:tcMar>
            <w:vAlign w:val="center"/>
          </w:tcPr>
          <w:p w14:paraId="3CF2CF2C"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6</w:t>
            </w:r>
          </w:p>
        </w:tc>
        <w:tc>
          <w:tcPr>
            <w:tcW w:w="1805" w:type="pct"/>
            <w:shd w:val="clear" w:color="auto" w:fill="auto"/>
            <w:tcMar>
              <w:top w:w="0" w:type="dxa"/>
              <w:bottom w:w="0" w:type="dxa"/>
            </w:tcMar>
            <w:vAlign w:val="center"/>
          </w:tcPr>
          <w:p w14:paraId="4A029F6E"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Payables to the State budget</w:t>
            </w:r>
          </w:p>
        </w:tc>
        <w:tc>
          <w:tcPr>
            <w:tcW w:w="954" w:type="pct"/>
            <w:shd w:val="clear" w:color="auto" w:fill="auto"/>
            <w:tcMar>
              <w:top w:w="0" w:type="dxa"/>
              <w:bottom w:w="0" w:type="dxa"/>
            </w:tcMar>
            <w:vAlign w:val="center"/>
          </w:tcPr>
          <w:p w14:paraId="61AB0DA2"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Billion VND</w:t>
            </w:r>
          </w:p>
        </w:tc>
        <w:tc>
          <w:tcPr>
            <w:tcW w:w="680" w:type="pct"/>
            <w:shd w:val="clear" w:color="auto" w:fill="auto"/>
            <w:tcMar>
              <w:top w:w="0" w:type="dxa"/>
              <w:bottom w:w="0" w:type="dxa"/>
            </w:tcMar>
            <w:vAlign w:val="center"/>
          </w:tcPr>
          <w:p w14:paraId="7A36F569"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0.19</w:t>
            </w:r>
          </w:p>
        </w:tc>
        <w:tc>
          <w:tcPr>
            <w:tcW w:w="605" w:type="pct"/>
            <w:shd w:val="clear" w:color="auto" w:fill="auto"/>
            <w:tcMar>
              <w:top w:w="0" w:type="dxa"/>
              <w:bottom w:w="0" w:type="dxa"/>
            </w:tcMar>
            <w:vAlign w:val="center"/>
          </w:tcPr>
          <w:p w14:paraId="2971BD20"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0.18</w:t>
            </w:r>
          </w:p>
        </w:tc>
        <w:tc>
          <w:tcPr>
            <w:tcW w:w="700" w:type="pct"/>
            <w:shd w:val="clear" w:color="auto" w:fill="auto"/>
            <w:tcMar>
              <w:top w:w="0" w:type="dxa"/>
              <w:bottom w:w="0" w:type="dxa"/>
            </w:tcMar>
            <w:vAlign w:val="center"/>
          </w:tcPr>
          <w:p w14:paraId="0B713165"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93%</w:t>
            </w:r>
          </w:p>
        </w:tc>
      </w:tr>
      <w:tr w:rsidR="00954DAE" w:rsidRPr="009D1440" w14:paraId="7E171B93" w14:textId="77777777" w:rsidTr="009028E7">
        <w:tc>
          <w:tcPr>
            <w:tcW w:w="255" w:type="pct"/>
            <w:shd w:val="clear" w:color="auto" w:fill="auto"/>
            <w:tcMar>
              <w:top w:w="0" w:type="dxa"/>
              <w:bottom w:w="0" w:type="dxa"/>
            </w:tcMar>
            <w:vAlign w:val="center"/>
          </w:tcPr>
          <w:p w14:paraId="33C985BB"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7</w:t>
            </w:r>
          </w:p>
        </w:tc>
        <w:tc>
          <w:tcPr>
            <w:tcW w:w="1805" w:type="pct"/>
            <w:shd w:val="clear" w:color="auto" w:fill="auto"/>
            <w:tcMar>
              <w:top w:w="0" w:type="dxa"/>
              <w:bottom w:w="0" w:type="dxa"/>
            </w:tcMar>
            <w:vAlign w:val="center"/>
          </w:tcPr>
          <w:p w14:paraId="551C2D40"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Average income</w:t>
            </w:r>
          </w:p>
        </w:tc>
        <w:tc>
          <w:tcPr>
            <w:tcW w:w="954" w:type="pct"/>
            <w:shd w:val="clear" w:color="auto" w:fill="auto"/>
            <w:tcMar>
              <w:top w:w="0" w:type="dxa"/>
              <w:bottom w:w="0" w:type="dxa"/>
            </w:tcMar>
            <w:vAlign w:val="center"/>
          </w:tcPr>
          <w:p w14:paraId="3500D3AE"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Million VND/person/month</w:t>
            </w:r>
          </w:p>
        </w:tc>
        <w:tc>
          <w:tcPr>
            <w:tcW w:w="680" w:type="pct"/>
            <w:shd w:val="clear" w:color="auto" w:fill="auto"/>
            <w:tcMar>
              <w:top w:w="0" w:type="dxa"/>
              <w:bottom w:w="0" w:type="dxa"/>
            </w:tcMar>
            <w:vAlign w:val="center"/>
          </w:tcPr>
          <w:p w14:paraId="7BC59578"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6.9</w:t>
            </w:r>
          </w:p>
        </w:tc>
        <w:tc>
          <w:tcPr>
            <w:tcW w:w="605" w:type="pct"/>
            <w:shd w:val="clear" w:color="auto" w:fill="auto"/>
            <w:tcMar>
              <w:top w:w="0" w:type="dxa"/>
              <w:bottom w:w="0" w:type="dxa"/>
            </w:tcMar>
            <w:vAlign w:val="center"/>
          </w:tcPr>
          <w:p w14:paraId="660425E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6.5</w:t>
            </w:r>
          </w:p>
        </w:tc>
        <w:tc>
          <w:tcPr>
            <w:tcW w:w="700" w:type="pct"/>
            <w:shd w:val="clear" w:color="auto" w:fill="auto"/>
            <w:tcMar>
              <w:top w:w="0" w:type="dxa"/>
              <w:bottom w:w="0" w:type="dxa"/>
            </w:tcMar>
            <w:vAlign w:val="center"/>
          </w:tcPr>
          <w:p w14:paraId="48304014"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94%</w:t>
            </w:r>
          </w:p>
        </w:tc>
      </w:tr>
    </w:tbl>
    <w:p w14:paraId="5789CE36"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‎‎Article 2. Approve the Report on activities of the Board of Directors in 2023 and the plan for 2024.</w:t>
      </w:r>
    </w:p>
    <w:p w14:paraId="5CB8D88A"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Article 3: Approve the Report on activities of the Supervisory Board in 2023 and the Plan for 2024.</w:t>
      </w:r>
    </w:p>
    <w:p w14:paraId="3A5807B1"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‎‎Article 5. Approve the Proposal on selecting an audit company in 2024 and authorize the Board of Directors to select 01 audit company, ensuring compliance with the provisions of Law and the Company's Charter.</w:t>
      </w:r>
    </w:p>
    <w:p w14:paraId="5E2BD7CF"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hAnsi="Arial" w:cs="Arial"/>
          <w:color w:val="010000"/>
          <w:sz w:val="20"/>
        </w:rPr>
      </w:pPr>
      <w:r w:rsidRPr="009D1440">
        <w:rPr>
          <w:rFonts w:ascii="Arial" w:hAnsi="Arial" w:cs="Arial"/>
          <w:color w:val="010000"/>
          <w:sz w:val="20"/>
        </w:rPr>
        <w:t xml:space="preserve">‎‎Article 6. Approve the Proposal on not paying dividends in 2023. </w:t>
      </w:r>
    </w:p>
    <w:p w14:paraId="531DAF28" w14:textId="691BF456" w:rsidR="00DE771E" w:rsidRPr="009D1440" w:rsidRDefault="00941D24" w:rsidP="009028E7">
      <w:pPr>
        <w:pBdr>
          <w:top w:val="nil"/>
          <w:left w:val="nil"/>
          <w:bottom w:val="nil"/>
          <w:right w:val="nil"/>
          <w:between w:val="nil"/>
        </w:pBdr>
        <w:tabs>
          <w:tab w:val="left" w:pos="432"/>
        </w:tabs>
        <w:spacing w:after="120" w:line="360" w:lineRule="auto"/>
        <w:rPr>
          <w:rFonts w:ascii="Arial" w:hAnsi="Arial" w:cs="Arial"/>
          <w:color w:val="010000"/>
          <w:sz w:val="20"/>
        </w:rPr>
      </w:pPr>
      <w:r w:rsidRPr="009D1440">
        <w:rPr>
          <w:rFonts w:ascii="Arial" w:hAnsi="Arial" w:cs="Arial"/>
          <w:color w:val="010000"/>
          <w:sz w:val="20"/>
        </w:rPr>
        <w:t>2023 was a difficult year for the Company. The Company</w:t>
      </w:r>
      <w:r w:rsidR="009E37AC" w:rsidRPr="009D1440">
        <w:rPr>
          <w:rFonts w:ascii="Arial" w:hAnsi="Arial" w:cs="Arial"/>
          <w:color w:val="010000"/>
          <w:sz w:val="20"/>
        </w:rPr>
        <w:t xml:space="preserve"> continued to incur loses and the financial situation is heavily imbalanced.</w:t>
      </w:r>
      <w:r w:rsidR="00C7194A" w:rsidRPr="009D1440">
        <w:rPr>
          <w:rFonts w:ascii="Arial" w:hAnsi="Arial" w:cs="Arial"/>
          <w:color w:val="010000"/>
          <w:sz w:val="20"/>
        </w:rPr>
        <w:t xml:space="preserve"> In 2023, the undistributed profit after tax of the Company is negative VND 19 billion.</w:t>
      </w:r>
    </w:p>
    <w:p w14:paraId="004E1D9A" w14:textId="263CD951" w:rsidR="00C7194A" w:rsidRPr="009D1440" w:rsidRDefault="00C7194A" w:rsidP="009028E7">
      <w:pPr>
        <w:pBdr>
          <w:top w:val="nil"/>
          <w:left w:val="nil"/>
          <w:bottom w:val="nil"/>
          <w:right w:val="nil"/>
          <w:between w:val="nil"/>
        </w:pBdr>
        <w:tabs>
          <w:tab w:val="left" w:pos="432"/>
        </w:tabs>
        <w:spacing w:after="120" w:line="360" w:lineRule="auto"/>
        <w:rPr>
          <w:rFonts w:ascii="Arial" w:hAnsi="Arial" w:cs="Arial"/>
          <w:color w:val="010000"/>
          <w:sz w:val="20"/>
        </w:rPr>
      </w:pPr>
      <w:r w:rsidRPr="009D1440">
        <w:rPr>
          <w:rFonts w:ascii="Arial" w:hAnsi="Arial" w:cs="Arial"/>
          <w:color w:val="010000"/>
          <w:sz w:val="20"/>
        </w:rPr>
        <w:lastRenderedPageBreak/>
        <w:t xml:space="preserve">On the other hand, the Company still </w:t>
      </w:r>
      <w:r w:rsidR="00183DB9" w:rsidRPr="009D1440">
        <w:rPr>
          <w:rFonts w:ascii="Arial" w:hAnsi="Arial" w:cs="Arial"/>
          <w:color w:val="010000"/>
          <w:sz w:val="20"/>
        </w:rPr>
        <w:t>maintains</w:t>
      </w:r>
      <w:r w:rsidRPr="009D1440">
        <w:rPr>
          <w:rFonts w:ascii="Arial" w:hAnsi="Arial" w:cs="Arial"/>
          <w:color w:val="010000"/>
          <w:sz w:val="20"/>
        </w:rPr>
        <w:t xml:space="preserve"> its operation, </w:t>
      </w:r>
      <w:r w:rsidR="00183DB9" w:rsidRPr="009D1440">
        <w:rPr>
          <w:rFonts w:ascii="Arial" w:hAnsi="Arial" w:cs="Arial"/>
          <w:color w:val="010000"/>
          <w:sz w:val="20"/>
        </w:rPr>
        <w:t xml:space="preserve">but there were no works. The current main revenue is </w:t>
      </w:r>
      <w:r w:rsidR="004E55F4" w:rsidRPr="009D1440">
        <w:rPr>
          <w:rFonts w:ascii="Arial" w:hAnsi="Arial" w:cs="Arial"/>
          <w:color w:val="010000"/>
          <w:sz w:val="20"/>
        </w:rPr>
        <w:t xml:space="preserve">from leasing </w:t>
      </w:r>
      <w:r w:rsidR="00FA1762" w:rsidRPr="009D1440">
        <w:rPr>
          <w:rFonts w:ascii="Arial" w:hAnsi="Arial" w:cs="Arial"/>
          <w:color w:val="010000"/>
          <w:sz w:val="20"/>
        </w:rPr>
        <w:t>vehicles, machinery</w:t>
      </w:r>
      <w:r w:rsidR="009D1440">
        <w:rPr>
          <w:rFonts w:ascii="Arial" w:hAnsi="Arial" w:cs="Arial"/>
          <w:color w:val="010000"/>
          <w:sz w:val="20"/>
        </w:rPr>
        <w:t>,</w:t>
      </w:r>
      <w:r w:rsidR="00FA1762" w:rsidRPr="009D1440">
        <w:rPr>
          <w:rFonts w:ascii="Arial" w:hAnsi="Arial" w:cs="Arial"/>
          <w:color w:val="010000"/>
          <w:sz w:val="20"/>
        </w:rPr>
        <w:t xml:space="preserve"> and </w:t>
      </w:r>
      <w:r w:rsidR="004E55F4" w:rsidRPr="009D1440">
        <w:rPr>
          <w:rFonts w:ascii="Arial" w:hAnsi="Arial" w:cs="Arial"/>
          <w:color w:val="010000"/>
          <w:sz w:val="20"/>
        </w:rPr>
        <w:t>equipment</w:t>
      </w:r>
      <w:r w:rsidR="00E112EA" w:rsidRPr="009D1440">
        <w:rPr>
          <w:rFonts w:ascii="Arial" w:hAnsi="Arial" w:cs="Arial"/>
          <w:color w:val="010000"/>
          <w:sz w:val="20"/>
        </w:rPr>
        <w:t xml:space="preserve">. </w:t>
      </w:r>
      <w:r w:rsidR="009D1440" w:rsidRPr="009D1440">
        <w:rPr>
          <w:rFonts w:ascii="Arial" w:hAnsi="Arial" w:cs="Arial"/>
          <w:color w:val="010000"/>
          <w:sz w:val="20"/>
        </w:rPr>
        <w:t>However</w:t>
      </w:r>
      <w:r w:rsidR="00E112EA" w:rsidRPr="009D1440">
        <w:rPr>
          <w:rFonts w:ascii="Arial" w:hAnsi="Arial" w:cs="Arial"/>
          <w:color w:val="010000"/>
          <w:sz w:val="20"/>
        </w:rPr>
        <w:t xml:space="preserve">, the revenue is not </w:t>
      </w:r>
      <w:r w:rsidR="009D1440" w:rsidRPr="009D1440">
        <w:rPr>
          <w:rFonts w:ascii="Arial" w:hAnsi="Arial" w:cs="Arial"/>
          <w:color w:val="010000"/>
          <w:sz w:val="20"/>
        </w:rPr>
        <w:t>sufficient</w:t>
      </w:r>
      <w:r w:rsidR="00E112EA" w:rsidRPr="009D1440">
        <w:rPr>
          <w:rFonts w:ascii="Arial" w:hAnsi="Arial" w:cs="Arial"/>
          <w:color w:val="010000"/>
          <w:sz w:val="20"/>
        </w:rPr>
        <w:t xml:space="preserve"> to offset expenses such as overdue loans from credit institutions</w:t>
      </w:r>
      <w:r w:rsidR="0061251A" w:rsidRPr="009D1440">
        <w:rPr>
          <w:rFonts w:ascii="Arial" w:hAnsi="Arial" w:cs="Arial"/>
          <w:color w:val="010000"/>
          <w:sz w:val="20"/>
        </w:rPr>
        <w:t>, fixed asset depreciation, office lease expenses, p</w:t>
      </w:r>
      <w:r w:rsidR="009D1440" w:rsidRPr="009D1440">
        <w:rPr>
          <w:rFonts w:ascii="Arial" w:hAnsi="Arial" w:cs="Arial"/>
          <w:color w:val="010000"/>
          <w:sz w:val="20"/>
        </w:rPr>
        <w:t>a</w:t>
      </w:r>
      <w:r w:rsidR="0061251A" w:rsidRPr="009D1440">
        <w:rPr>
          <w:rFonts w:ascii="Arial" w:hAnsi="Arial" w:cs="Arial"/>
          <w:color w:val="010000"/>
          <w:sz w:val="20"/>
        </w:rPr>
        <w:t>y</w:t>
      </w:r>
      <w:r w:rsidR="009D1440" w:rsidRPr="009D1440">
        <w:rPr>
          <w:rFonts w:ascii="Arial" w:hAnsi="Arial" w:cs="Arial"/>
          <w:color w:val="010000"/>
          <w:sz w:val="20"/>
        </w:rPr>
        <w:t>a</w:t>
      </w:r>
      <w:r w:rsidR="0061251A" w:rsidRPr="009D1440">
        <w:rPr>
          <w:rFonts w:ascii="Arial" w:hAnsi="Arial" w:cs="Arial"/>
          <w:color w:val="010000"/>
          <w:sz w:val="20"/>
        </w:rPr>
        <w:t>ble taxes,</w:t>
      </w:r>
      <w:r w:rsidR="00D1731C" w:rsidRPr="009D1440">
        <w:rPr>
          <w:rFonts w:ascii="Arial" w:hAnsi="Arial" w:cs="Arial"/>
          <w:color w:val="010000"/>
          <w:sz w:val="20"/>
        </w:rPr>
        <w:t xml:space="preserve"> payables to creditors after executing the judgment</w:t>
      </w:r>
      <w:r w:rsidR="002E1A59" w:rsidRPr="009D1440">
        <w:rPr>
          <w:rFonts w:ascii="Arial" w:hAnsi="Arial" w:cs="Arial"/>
          <w:color w:val="010000"/>
          <w:sz w:val="20"/>
        </w:rPr>
        <w:t>, etc.</w:t>
      </w:r>
    </w:p>
    <w:p w14:paraId="3BADC073" w14:textId="46B0403F" w:rsidR="002E1A59" w:rsidRPr="009D1440" w:rsidRDefault="002E1A5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 xml:space="preserve">Therefore, the Company proposes </w:t>
      </w:r>
      <w:r w:rsidR="009D1440" w:rsidRPr="009D1440">
        <w:rPr>
          <w:rFonts w:ascii="Arial" w:hAnsi="Arial" w:cs="Arial"/>
          <w:color w:val="010000"/>
          <w:sz w:val="20"/>
        </w:rPr>
        <w:t xml:space="preserve">the General Meeting of Shareholders to allow </w:t>
      </w:r>
      <w:r w:rsidRPr="009D1440">
        <w:rPr>
          <w:rFonts w:ascii="Arial" w:hAnsi="Arial" w:cs="Arial"/>
          <w:color w:val="010000"/>
          <w:sz w:val="20"/>
        </w:rPr>
        <w:t xml:space="preserve">not </w:t>
      </w:r>
      <w:r w:rsidR="009D1440" w:rsidRPr="009D1440">
        <w:rPr>
          <w:rFonts w:ascii="Arial" w:hAnsi="Arial" w:cs="Arial"/>
          <w:color w:val="010000"/>
          <w:sz w:val="20"/>
        </w:rPr>
        <w:t>paying dividends in 2023.</w:t>
      </w:r>
    </w:p>
    <w:p w14:paraId="5302F71D"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Article 7. Approve the Proposal on the settlement of remuneration of the Board of Directors, the Supervisory Board in 2023 and the plan for 2024</w:t>
      </w:r>
    </w:p>
    <w:p w14:paraId="33CF0859"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 xml:space="preserve">‎‎Article 8. The General Meeting of Shareholders of Mien Trung Petroleum Construction JSC assigned the Board of Directors, based on the above contents, to implement in accordance with the current provisions of law and the Company’s Charter. The Board of Directors, the Supervisory Board, the Manager, and relevant individuals implement based on this General Mandate. </w:t>
      </w:r>
    </w:p>
    <w:p w14:paraId="28801EFE" w14:textId="77777777" w:rsidR="00954DAE" w:rsidRPr="009D1440" w:rsidRDefault="00F74189" w:rsidP="0090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440">
        <w:rPr>
          <w:rFonts w:ascii="Arial" w:hAnsi="Arial" w:cs="Arial"/>
          <w:color w:val="010000"/>
          <w:sz w:val="20"/>
        </w:rPr>
        <w:t xml:space="preserve">‎‎Article 9. This General Mandate was approved by the Annual General Meeting of Shareholders of Mien Trung Petroleum Construction JSC on May 20, 2024. </w:t>
      </w:r>
    </w:p>
    <w:sectPr w:rsidR="00954DAE" w:rsidRPr="009D1440" w:rsidSect="009028E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B671B"/>
    <w:multiLevelType w:val="multilevel"/>
    <w:tmpl w:val="32BA622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CB31B1"/>
    <w:multiLevelType w:val="multilevel"/>
    <w:tmpl w:val="198C65DC"/>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B523C66"/>
    <w:multiLevelType w:val="multilevel"/>
    <w:tmpl w:val="10CCA39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AE"/>
    <w:rsid w:val="00052F56"/>
    <w:rsid w:val="00183DB9"/>
    <w:rsid w:val="002E1A59"/>
    <w:rsid w:val="004E55F4"/>
    <w:rsid w:val="0061251A"/>
    <w:rsid w:val="008C461F"/>
    <w:rsid w:val="009028E7"/>
    <w:rsid w:val="00941D24"/>
    <w:rsid w:val="00954DAE"/>
    <w:rsid w:val="009D1440"/>
    <w:rsid w:val="009E37AC"/>
    <w:rsid w:val="00C7194A"/>
    <w:rsid w:val="00D1731C"/>
    <w:rsid w:val="00DE771E"/>
    <w:rsid w:val="00E00591"/>
    <w:rsid w:val="00E112EA"/>
    <w:rsid w:val="00EF1FBC"/>
    <w:rsid w:val="00F25F20"/>
    <w:rsid w:val="00F74189"/>
    <w:rsid w:val="00FA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BA778"/>
  <w15:docId w15:val="{F42AD50A-500A-4C9C-A8E1-CDBF45F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22" w:lineRule="auto"/>
      <w:ind w:firstLine="400"/>
    </w:pPr>
    <w:rPr>
      <w:rFonts w:ascii="Times New Roman" w:eastAsia="Times New Roman" w:hAnsi="Times New Roman" w:cs="Times New Roman"/>
      <w:sz w:val="22"/>
      <w:szCs w:val="22"/>
    </w:rPr>
  </w:style>
  <w:style w:type="paragraph" w:customStyle="1" w:styleId="Tiu30">
    <w:name w:val="Tiêu đề #3"/>
    <w:basedOn w:val="Normal"/>
    <w:link w:val="Tiu3"/>
    <w:pPr>
      <w:spacing w:line="257" w:lineRule="auto"/>
      <w:jc w:val="center"/>
      <w:outlineLvl w:val="2"/>
    </w:pPr>
    <w:rPr>
      <w:rFonts w:ascii="Times New Roman" w:eastAsia="Times New Roman" w:hAnsi="Times New Roman" w:cs="Times New Roman"/>
      <w:b/>
      <w:bCs/>
      <w:sz w:val="22"/>
      <w:szCs w:val="22"/>
    </w:rPr>
  </w:style>
  <w:style w:type="paragraph" w:customStyle="1" w:styleId="Tiu20">
    <w:name w:val="Tiêu đề #2"/>
    <w:basedOn w:val="Normal"/>
    <w:link w:val="Tiu2"/>
    <w:pPr>
      <w:spacing w:line="259" w:lineRule="auto"/>
      <w:jc w:val="center"/>
      <w:outlineLvl w:val="1"/>
    </w:pPr>
    <w:rPr>
      <w:rFonts w:ascii="Times New Roman" w:eastAsia="Times New Roman" w:hAnsi="Times New Roman" w:cs="Times New Roman"/>
      <w:sz w:val="26"/>
      <w:szCs w:val="26"/>
    </w:rPr>
  </w:style>
  <w:style w:type="paragraph" w:customStyle="1" w:styleId="Tiu10">
    <w:name w:val="Tiêu đề #1"/>
    <w:basedOn w:val="Normal"/>
    <w:link w:val="Tiu1"/>
    <w:pPr>
      <w:jc w:val="right"/>
      <w:outlineLvl w:val="0"/>
    </w:pPr>
    <w:rPr>
      <w:rFonts w:ascii="Times New Roman" w:eastAsia="Times New Roman" w:hAnsi="Times New Roman" w:cs="Times New Roman"/>
      <w:sz w:val="30"/>
      <w:szCs w:val="30"/>
    </w:rPr>
  </w:style>
  <w:style w:type="paragraph" w:customStyle="1" w:styleId="Chthchbng0">
    <w:name w:val="Chú thích bảng"/>
    <w:basedOn w:val="Normal"/>
    <w:link w:val="Chthchbng"/>
    <w:pPr>
      <w:spacing w:line="319" w:lineRule="auto"/>
      <w:jc w:val="right"/>
    </w:pPr>
    <w:rPr>
      <w:rFonts w:ascii="Times New Roman" w:eastAsia="Times New Roman" w:hAnsi="Times New Roman" w:cs="Times New Roman"/>
      <w:sz w:val="22"/>
      <w:szCs w:val="22"/>
    </w:rPr>
  </w:style>
  <w:style w:type="paragraph" w:customStyle="1" w:styleId="Khc0">
    <w:name w:val="Khác"/>
    <w:basedOn w:val="Normal"/>
    <w:link w:val="Khc"/>
    <w:pPr>
      <w:spacing w:line="322" w:lineRule="auto"/>
      <w:ind w:firstLine="40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bzddzy71mnazQA4WmVN+ISitBA==">CgMxLjA4AHIhMUVQYjl5M3FYbE9vTnhuZ2Mxd0l4dDRjV2xETE83WE5X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2024-05-27T04:19:00Z</dcterms:created>
  <dcterms:modified xsi:type="dcterms:W3CDTF">2024-05-27T04:19:00Z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e8e19a2520491f808aee42fa0bb5e26ed28189260f182c08909ce203c2b92fda</vt:lpwstr>
  </property>
</Properties>
</file>