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3F21A" w14:textId="77777777" w:rsidR="005C783F" w:rsidRDefault="005C783F" w:rsidP="00DA6115">
      <w:pPr>
        <w:pBdr>
          <w:top w:val="nil"/>
          <w:left w:val="nil"/>
          <w:bottom w:val="nil"/>
          <w:right w:val="nil"/>
          <w:between w:val="nil"/>
        </w:pBdr>
        <w:spacing w:after="120" w:line="360" w:lineRule="auto"/>
        <w:jc w:val="both"/>
        <w:rPr>
          <w:rFonts w:ascii="Arial" w:eastAsia="Arial" w:hAnsi="Arial" w:cs="Arial"/>
          <w:b/>
          <w:color w:val="010000"/>
          <w:sz w:val="20"/>
          <w:szCs w:val="20"/>
        </w:rPr>
      </w:pPr>
      <w:r>
        <w:rPr>
          <w:rFonts w:ascii="Arial" w:hAnsi="Arial"/>
          <w:b/>
          <w:color w:val="010000"/>
          <w:sz w:val="20"/>
        </w:rPr>
        <w:t>TTD: Annual General Mandate 2024</w:t>
      </w:r>
    </w:p>
    <w:p w14:paraId="1B85EE74"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On April 27, 2024, Tam Duc Cardiology hospital joint stock </w:t>
      </w:r>
      <w:proofErr w:type="gramStart"/>
      <w:r>
        <w:rPr>
          <w:rFonts w:ascii="Arial" w:hAnsi="Arial"/>
          <w:color w:val="010000"/>
          <w:sz w:val="20"/>
        </w:rPr>
        <w:t>company</w:t>
      </w:r>
      <w:proofErr w:type="gramEnd"/>
      <w:r>
        <w:rPr>
          <w:rFonts w:ascii="Arial" w:hAnsi="Arial"/>
          <w:color w:val="010000"/>
          <w:sz w:val="20"/>
        </w:rPr>
        <w:t xml:space="preserve"> announced General Mandate No. 01.2024/NQ-DHCD as follows:</w:t>
      </w:r>
    </w:p>
    <w:p w14:paraId="7CD9E960" w14:textId="1C4EB3E3" w:rsidR="007C295C" w:rsidRPr="005C783F" w:rsidRDefault="00ED0C46" w:rsidP="00DA6115">
      <w:pPr>
        <w:keepNext/>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Article I Approve </w:t>
      </w:r>
      <w:r w:rsidR="00224224">
        <w:rPr>
          <w:rFonts w:ascii="Arial" w:hAnsi="Arial"/>
          <w:color w:val="010000"/>
          <w:sz w:val="20"/>
        </w:rPr>
        <w:t>t</w:t>
      </w:r>
      <w:r>
        <w:rPr>
          <w:rFonts w:ascii="Arial" w:hAnsi="Arial"/>
          <w:color w:val="010000"/>
          <w:sz w:val="20"/>
        </w:rPr>
        <w:t xml:space="preserve">he Performance Report 2023 and Audited Annual Financial Report 2023 </w:t>
      </w:r>
    </w:p>
    <w:p w14:paraId="4EDB0095"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bookmarkStart w:id="0" w:name="_heading=h.gjdgxs"/>
      <w:bookmarkEnd w:id="0"/>
      <w:r>
        <w:rPr>
          <w:rFonts w:ascii="Arial" w:hAnsi="Arial"/>
          <w:color w:val="010000"/>
          <w:sz w:val="20"/>
        </w:rPr>
        <w:t>In 2023, Tam Duc achieved the goal of treatment quality and patient satisfaction, with better operating capacity compared to in 2022.</w:t>
      </w:r>
    </w:p>
    <w:p w14:paraId="42B245F2"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On expertise: In 2023, medical examination activities increase by 3% compared to in 2022 (79,816/77,417). Inpatient treatment increases by 6% compared to in 2022 (4,671/4,417). Stable Surgical activities, 442 cases operated in 2023, equivalent to 2022 (442/443). Interventional cardiac catheterization is 7.7% higher than in 2022 (1,722/1,599). In terms of cardiac electrophysiology, 2023 increased by 4.5% compared to in 2022 (416/398). New techniques have been developed, ablation using 3D mapping to treat supraventricular tachycardia reduces X-ray exposure time, and the technique of placing a pacemaker from the HIS bundle reduces the long-term rate of heart failure, with good success. </w:t>
      </w:r>
      <w:proofErr w:type="spellStart"/>
      <w:r>
        <w:rPr>
          <w:rFonts w:ascii="Arial" w:hAnsi="Arial"/>
          <w:color w:val="010000"/>
          <w:sz w:val="20"/>
        </w:rPr>
        <w:t>Paraclinical</w:t>
      </w:r>
      <w:proofErr w:type="spellEnd"/>
      <w:r>
        <w:rPr>
          <w:rFonts w:ascii="Arial" w:hAnsi="Arial"/>
          <w:color w:val="010000"/>
          <w:sz w:val="20"/>
        </w:rPr>
        <w:t xml:space="preserve"> activities in 2023 decrease by 5% compared to in 2022 (969,659/1,019,186), but are higher than in pre-epidemic years.</w:t>
      </w:r>
    </w:p>
    <w:p w14:paraId="4C322B62" w14:textId="14B5E1D9" w:rsidR="007C295C" w:rsidRPr="005C783F" w:rsidRDefault="00F97BBF" w:rsidP="00DA6115">
      <w:pPr>
        <w:keepNext/>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About finance:</w:t>
      </w:r>
    </w:p>
    <w:tbl>
      <w:tblPr>
        <w:tblStyle w:va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79"/>
        <w:gridCol w:w="3082"/>
        <w:gridCol w:w="3082"/>
      </w:tblGrid>
      <w:tr w:rsidR="007C295C" w:rsidRPr="005C783F" w14:paraId="2C7645BC" w14:textId="77777777" w:rsidTr="005C783F">
        <w:tc>
          <w:tcPr>
            <w:tcW w:w="1666" w:type="pct"/>
            <w:shd w:val="clear" w:color="auto" w:fill="auto"/>
            <w:vAlign w:val="center"/>
          </w:tcPr>
          <w:p w14:paraId="3BB7199B" w14:textId="77777777" w:rsidR="007C295C" w:rsidRPr="005C783F" w:rsidRDefault="007C295C" w:rsidP="005C783F">
            <w:pPr>
              <w:keepNext/>
              <w:pBdr>
                <w:top w:val="nil"/>
                <w:left w:val="nil"/>
                <w:bottom w:val="nil"/>
                <w:right w:val="nil"/>
                <w:between w:val="nil"/>
              </w:pBdr>
              <w:spacing w:after="120" w:line="360" w:lineRule="auto"/>
              <w:rPr>
                <w:rFonts w:ascii="Arial" w:eastAsia="Arial" w:hAnsi="Arial" w:cs="Arial"/>
                <w:color w:val="010000"/>
                <w:sz w:val="20"/>
                <w:szCs w:val="20"/>
              </w:rPr>
            </w:pPr>
          </w:p>
        </w:tc>
        <w:tc>
          <w:tcPr>
            <w:tcW w:w="1667" w:type="pct"/>
            <w:shd w:val="clear" w:color="auto" w:fill="auto"/>
            <w:vAlign w:val="center"/>
          </w:tcPr>
          <w:p w14:paraId="7A5E2253"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Plan in 2023</w:t>
            </w:r>
          </w:p>
        </w:tc>
        <w:tc>
          <w:tcPr>
            <w:tcW w:w="1667" w:type="pct"/>
            <w:shd w:val="clear" w:color="auto" w:fill="auto"/>
            <w:vAlign w:val="center"/>
          </w:tcPr>
          <w:p w14:paraId="0857D440"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Results in 2023</w:t>
            </w:r>
          </w:p>
        </w:tc>
      </w:tr>
      <w:tr w:rsidR="007C295C" w:rsidRPr="005C783F" w14:paraId="0F727646" w14:textId="77777777" w:rsidTr="005C783F">
        <w:tc>
          <w:tcPr>
            <w:tcW w:w="1666" w:type="pct"/>
            <w:shd w:val="clear" w:color="auto" w:fill="auto"/>
            <w:vAlign w:val="center"/>
          </w:tcPr>
          <w:p w14:paraId="505E16C3"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Revenue:</w:t>
            </w:r>
          </w:p>
        </w:tc>
        <w:tc>
          <w:tcPr>
            <w:tcW w:w="1667" w:type="pct"/>
            <w:shd w:val="clear" w:color="auto" w:fill="auto"/>
            <w:vAlign w:val="center"/>
          </w:tcPr>
          <w:p w14:paraId="449C0C09"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VND 680 billion</w:t>
            </w:r>
          </w:p>
        </w:tc>
        <w:tc>
          <w:tcPr>
            <w:tcW w:w="1667" w:type="pct"/>
            <w:shd w:val="clear" w:color="auto" w:fill="auto"/>
            <w:vAlign w:val="center"/>
          </w:tcPr>
          <w:p w14:paraId="31867CE7"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VND 749.67 billion</w:t>
            </w:r>
          </w:p>
        </w:tc>
      </w:tr>
      <w:tr w:rsidR="007C295C" w:rsidRPr="005C783F" w14:paraId="2FFD7FAA" w14:textId="77777777" w:rsidTr="005C783F">
        <w:tc>
          <w:tcPr>
            <w:tcW w:w="1666" w:type="pct"/>
            <w:shd w:val="clear" w:color="auto" w:fill="auto"/>
            <w:vAlign w:val="center"/>
          </w:tcPr>
          <w:p w14:paraId="3530126E"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Profit before tax:</w:t>
            </w:r>
          </w:p>
        </w:tc>
        <w:tc>
          <w:tcPr>
            <w:tcW w:w="1667" w:type="pct"/>
            <w:shd w:val="clear" w:color="auto" w:fill="auto"/>
            <w:vAlign w:val="center"/>
          </w:tcPr>
          <w:p w14:paraId="103FC5E1"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VND 82 billion</w:t>
            </w:r>
          </w:p>
        </w:tc>
        <w:tc>
          <w:tcPr>
            <w:tcW w:w="1667" w:type="pct"/>
            <w:shd w:val="clear" w:color="auto" w:fill="auto"/>
            <w:vAlign w:val="center"/>
          </w:tcPr>
          <w:p w14:paraId="7996F9E3"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VND 93.80 billion</w:t>
            </w:r>
          </w:p>
        </w:tc>
      </w:tr>
      <w:tr w:rsidR="007C295C" w:rsidRPr="005C783F" w14:paraId="72A80E06" w14:textId="77777777" w:rsidTr="005C783F">
        <w:tc>
          <w:tcPr>
            <w:tcW w:w="1666" w:type="pct"/>
            <w:shd w:val="clear" w:color="auto" w:fill="auto"/>
            <w:vAlign w:val="center"/>
          </w:tcPr>
          <w:p w14:paraId="2B175C86"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Profit after tax:</w:t>
            </w:r>
          </w:p>
        </w:tc>
        <w:tc>
          <w:tcPr>
            <w:tcW w:w="1667" w:type="pct"/>
            <w:shd w:val="clear" w:color="auto" w:fill="auto"/>
            <w:vAlign w:val="center"/>
          </w:tcPr>
          <w:p w14:paraId="3A454A43"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VND 74 billion</w:t>
            </w:r>
          </w:p>
        </w:tc>
        <w:tc>
          <w:tcPr>
            <w:tcW w:w="1667" w:type="pct"/>
            <w:shd w:val="clear" w:color="auto" w:fill="auto"/>
            <w:vAlign w:val="center"/>
          </w:tcPr>
          <w:p w14:paraId="0F3EAE0E" w14:textId="77777777" w:rsidR="007C295C" w:rsidRPr="005C783F" w:rsidRDefault="00ED0C46" w:rsidP="005C783F">
            <w:pPr>
              <w:keepNext/>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VND 83.07 billion</w:t>
            </w:r>
          </w:p>
        </w:tc>
      </w:tr>
    </w:tbl>
    <w:p w14:paraId="342EEC33" w14:textId="20B67DCF"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In 2023, Tam Duc recovers from the </w:t>
      </w:r>
      <w:proofErr w:type="spellStart"/>
      <w:r>
        <w:rPr>
          <w:rFonts w:ascii="Arial" w:hAnsi="Arial"/>
          <w:color w:val="010000"/>
          <w:sz w:val="20"/>
        </w:rPr>
        <w:t>Covid</w:t>
      </w:r>
      <w:proofErr w:type="spellEnd"/>
      <w:r>
        <w:rPr>
          <w:rFonts w:ascii="Arial" w:hAnsi="Arial"/>
          <w:color w:val="010000"/>
          <w:sz w:val="20"/>
        </w:rPr>
        <w:t xml:space="preserve"> 19 </w:t>
      </w:r>
      <w:r w:rsidR="00E207F6">
        <w:rPr>
          <w:rFonts w:ascii="Arial" w:hAnsi="Arial"/>
          <w:color w:val="010000"/>
          <w:sz w:val="20"/>
        </w:rPr>
        <w:t>pandemic</w:t>
      </w:r>
      <w:r>
        <w:rPr>
          <w:rFonts w:ascii="Arial" w:hAnsi="Arial"/>
          <w:color w:val="010000"/>
          <w:sz w:val="20"/>
        </w:rPr>
        <w:t>, operating capacity is better than in 2022. Therefore, financial results in 2023 exceed the plan.</w:t>
      </w:r>
    </w:p>
    <w:p w14:paraId="07282949" w14:textId="2FB65F19"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Compared to the</w:t>
      </w:r>
      <w:r w:rsidR="00DE0316">
        <w:rPr>
          <w:rFonts w:ascii="Arial" w:hAnsi="Arial"/>
          <w:color w:val="010000"/>
          <w:sz w:val="20"/>
        </w:rPr>
        <w:t xml:space="preserve"> </w:t>
      </w:r>
      <w:r>
        <w:rPr>
          <w:rFonts w:ascii="Arial" w:hAnsi="Arial"/>
          <w:color w:val="010000"/>
          <w:sz w:val="20"/>
        </w:rPr>
        <w:t>plan</w:t>
      </w:r>
      <w:r w:rsidR="00DE0316">
        <w:rPr>
          <w:rFonts w:ascii="Arial" w:hAnsi="Arial"/>
          <w:color w:val="010000"/>
          <w:sz w:val="20"/>
        </w:rPr>
        <w:t xml:space="preserve"> 2023</w:t>
      </w:r>
      <w:r>
        <w:rPr>
          <w:rFonts w:ascii="Arial" w:hAnsi="Arial"/>
          <w:color w:val="010000"/>
          <w:sz w:val="20"/>
        </w:rPr>
        <w:t>, revenue increased by 10.2%</w:t>
      </w:r>
    </w:p>
    <w:p w14:paraId="2AC4974F"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The profit before tax/Total revenue rate in 2023 is 12.51%.</w:t>
      </w:r>
    </w:p>
    <w:p w14:paraId="52ED779B" w14:textId="77777777" w:rsidR="007C295C" w:rsidRPr="005C783F" w:rsidRDefault="00ED0C46" w:rsidP="00DA6115">
      <w:pPr>
        <w:keepNext/>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Article II: Approve the report of the Supervisory Board in 2023</w:t>
      </w:r>
    </w:p>
    <w:p w14:paraId="7B126134"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Article 3: Approve the Profit distribution plan for 2023. The Dividend payment level in 2023 is 33%/Face Value Instead Of 30% as The General Meeting of Shareholders 2023 On April 28, 2023 decided:</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03"/>
        <w:gridCol w:w="1744"/>
      </w:tblGrid>
      <w:tr w:rsidR="007C295C" w:rsidRPr="005C783F" w14:paraId="2A8AD815" w14:textId="77777777" w:rsidTr="005C783F">
        <w:tc>
          <w:tcPr>
            <w:tcW w:w="4036" w:type="pct"/>
            <w:shd w:val="clear" w:color="auto" w:fill="auto"/>
            <w:tcMar>
              <w:top w:w="0" w:type="dxa"/>
              <w:bottom w:w="0" w:type="dxa"/>
            </w:tcMar>
            <w:vAlign w:val="center"/>
          </w:tcPr>
          <w:p w14:paraId="0B27F750" w14:textId="504CDC90" w:rsidR="007C295C" w:rsidRPr="005C783F" w:rsidRDefault="00ED0C46" w:rsidP="005C783F">
            <w:pPr>
              <w:numPr>
                <w:ilvl w:val="0"/>
                <w:numId w:val="3"/>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t>Profit after tax 2023</w:t>
            </w:r>
          </w:p>
        </w:tc>
        <w:tc>
          <w:tcPr>
            <w:tcW w:w="964" w:type="pct"/>
            <w:shd w:val="clear" w:color="auto" w:fill="auto"/>
            <w:tcMar>
              <w:top w:w="0" w:type="dxa"/>
              <w:bottom w:w="0" w:type="dxa"/>
            </w:tcMar>
            <w:vAlign w:val="center"/>
          </w:tcPr>
          <w:p w14:paraId="17476F70"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83,076,575,436</w:t>
            </w:r>
          </w:p>
        </w:tc>
      </w:tr>
      <w:tr w:rsidR="007C295C" w:rsidRPr="005C783F" w14:paraId="5CD35F8C" w14:textId="77777777" w:rsidTr="005C783F">
        <w:tc>
          <w:tcPr>
            <w:tcW w:w="4036" w:type="pct"/>
            <w:shd w:val="clear" w:color="auto" w:fill="auto"/>
            <w:tcMar>
              <w:top w:w="0" w:type="dxa"/>
              <w:bottom w:w="0" w:type="dxa"/>
            </w:tcMar>
            <w:vAlign w:val="center"/>
          </w:tcPr>
          <w:p w14:paraId="2B90608B" w14:textId="77777777" w:rsidR="007C295C" w:rsidRPr="005C783F" w:rsidRDefault="00ED0C46" w:rsidP="005C783F">
            <w:pPr>
              <w:numPr>
                <w:ilvl w:val="0"/>
                <w:numId w:val="3"/>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t>Appropriation for funds (General Mandate 01.2023/NQ-DHCD dated April 28, 2023)</w:t>
            </w:r>
          </w:p>
        </w:tc>
        <w:tc>
          <w:tcPr>
            <w:tcW w:w="964" w:type="pct"/>
            <w:shd w:val="clear" w:color="auto" w:fill="auto"/>
            <w:tcMar>
              <w:top w:w="0" w:type="dxa"/>
              <w:bottom w:w="0" w:type="dxa"/>
            </w:tcMar>
            <w:vAlign w:val="center"/>
          </w:tcPr>
          <w:p w14:paraId="5CD46FD6"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4,990,756,716</w:t>
            </w:r>
          </w:p>
        </w:tc>
      </w:tr>
      <w:tr w:rsidR="007C295C" w:rsidRPr="005C783F" w14:paraId="6B2AB5BA" w14:textId="77777777" w:rsidTr="005C783F">
        <w:tc>
          <w:tcPr>
            <w:tcW w:w="4036" w:type="pct"/>
            <w:shd w:val="clear" w:color="auto" w:fill="auto"/>
            <w:tcMar>
              <w:top w:w="0" w:type="dxa"/>
              <w:bottom w:w="0" w:type="dxa"/>
            </w:tcMar>
            <w:vAlign w:val="center"/>
          </w:tcPr>
          <w:p w14:paraId="340572E6" w14:textId="77777777" w:rsidR="007C295C" w:rsidRPr="005C783F" w:rsidRDefault="00ED0C46" w:rsidP="005C783F">
            <w:pPr>
              <w:numPr>
                <w:ilvl w:val="0"/>
                <w:numId w:val="2"/>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t>Board of Directors operating fund (3.6% Profit after Tax)</w:t>
            </w:r>
          </w:p>
        </w:tc>
        <w:tc>
          <w:tcPr>
            <w:tcW w:w="964" w:type="pct"/>
            <w:shd w:val="clear" w:color="auto" w:fill="auto"/>
            <w:tcMar>
              <w:top w:w="0" w:type="dxa"/>
              <w:bottom w:w="0" w:type="dxa"/>
            </w:tcMar>
            <w:vAlign w:val="center"/>
          </w:tcPr>
          <w:p w14:paraId="5015B0C1"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2,990,756,716</w:t>
            </w:r>
          </w:p>
        </w:tc>
      </w:tr>
      <w:tr w:rsidR="007C295C" w:rsidRPr="005C783F" w14:paraId="3B771F61" w14:textId="77777777" w:rsidTr="005C783F">
        <w:tc>
          <w:tcPr>
            <w:tcW w:w="4036" w:type="pct"/>
            <w:shd w:val="clear" w:color="auto" w:fill="auto"/>
            <w:tcMar>
              <w:top w:w="0" w:type="dxa"/>
              <w:bottom w:w="0" w:type="dxa"/>
            </w:tcMar>
            <w:vAlign w:val="center"/>
          </w:tcPr>
          <w:p w14:paraId="608A83B3" w14:textId="77777777" w:rsidR="007C295C" w:rsidRPr="005C783F" w:rsidRDefault="00ED0C46" w:rsidP="005C783F">
            <w:pPr>
              <w:numPr>
                <w:ilvl w:val="0"/>
                <w:numId w:val="2"/>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t>Bonus and welfare fund</w:t>
            </w:r>
          </w:p>
          <w:p w14:paraId="3CEB4FDB" w14:textId="77777777" w:rsidR="007C295C" w:rsidRPr="005C783F" w:rsidRDefault="00ED0C46" w:rsidP="005C783F">
            <w:pPr>
              <w:numPr>
                <w:ilvl w:val="0"/>
                <w:numId w:val="3"/>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lastRenderedPageBreak/>
              <w:t>Remaining profit for dividends (3=1-2)</w:t>
            </w:r>
          </w:p>
        </w:tc>
        <w:tc>
          <w:tcPr>
            <w:tcW w:w="964" w:type="pct"/>
            <w:shd w:val="clear" w:color="auto" w:fill="auto"/>
            <w:tcMar>
              <w:top w:w="0" w:type="dxa"/>
              <w:bottom w:w="0" w:type="dxa"/>
            </w:tcMar>
            <w:vAlign w:val="center"/>
          </w:tcPr>
          <w:p w14:paraId="2A6358A1"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lastRenderedPageBreak/>
              <w:t>2,000,000,000</w:t>
            </w:r>
          </w:p>
          <w:p w14:paraId="404BEAAF"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lastRenderedPageBreak/>
              <w:t>78,085,818,720</w:t>
            </w:r>
          </w:p>
        </w:tc>
      </w:tr>
      <w:tr w:rsidR="007C295C" w:rsidRPr="005C783F" w14:paraId="5D3F21A3" w14:textId="77777777" w:rsidTr="005C783F">
        <w:tc>
          <w:tcPr>
            <w:tcW w:w="4036" w:type="pct"/>
            <w:shd w:val="clear" w:color="auto" w:fill="auto"/>
            <w:tcMar>
              <w:top w:w="0" w:type="dxa"/>
              <w:bottom w:w="0" w:type="dxa"/>
            </w:tcMar>
            <w:vAlign w:val="center"/>
          </w:tcPr>
          <w:p w14:paraId="63FBA3FA" w14:textId="77777777" w:rsidR="007C295C" w:rsidRPr="005C783F" w:rsidRDefault="00ED0C46" w:rsidP="005C783F">
            <w:pPr>
              <w:numPr>
                <w:ilvl w:val="0"/>
                <w:numId w:val="3"/>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lastRenderedPageBreak/>
              <w:t>Dividend payment - Expected 33% of par value</w:t>
            </w:r>
          </w:p>
        </w:tc>
        <w:tc>
          <w:tcPr>
            <w:tcW w:w="964" w:type="pct"/>
            <w:shd w:val="clear" w:color="auto" w:fill="auto"/>
            <w:tcMar>
              <w:top w:w="0" w:type="dxa"/>
              <w:bottom w:w="0" w:type="dxa"/>
            </w:tcMar>
            <w:vAlign w:val="center"/>
          </w:tcPr>
          <w:p w14:paraId="47CEA28F"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54,022,736,000</w:t>
            </w:r>
          </w:p>
        </w:tc>
      </w:tr>
      <w:tr w:rsidR="007C295C" w:rsidRPr="005C783F" w14:paraId="45B41424" w14:textId="77777777" w:rsidTr="005C783F">
        <w:tc>
          <w:tcPr>
            <w:tcW w:w="4036" w:type="pct"/>
            <w:shd w:val="clear" w:color="auto" w:fill="auto"/>
            <w:tcMar>
              <w:top w:w="0" w:type="dxa"/>
              <w:bottom w:w="0" w:type="dxa"/>
            </w:tcMar>
            <w:vAlign w:val="center"/>
          </w:tcPr>
          <w:p w14:paraId="59FA5450" w14:textId="77777777" w:rsidR="007C295C" w:rsidRPr="005C783F" w:rsidRDefault="00ED0C46" w:rsidP="005C783F">
            <w:pPr>
              <w:numPr>
                <w:ilvl w:val="0"/>
                <w:numId w:val="2"/>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t>Prepayment round 1 in August 2023: 10%</w:t>
            </w:r>
          </w:p>
        </w:tc>
        <w:tc>
          <w:tcPr>
            <w:tcW w:w="964" w:type="pct"/>
            <w:shd w:val="clear" w:color="auto" w:fill="auto"/>
            <w:tcMar>
              <w:top w:w="0" w:type="dxa"/>
              <w:bottom w:w="0" w:type="dxa"/>
            </w:tcMar>
            <w:vAlign w:val="center"/>
          </w:tcPr>
          <w:p w14:paraId="738162B1"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16,370,526,000</w:t>
            </w:r>
          </w:p>
        </w:tc>
      </w:tr>
      <w:tr w:rsidR="007C295C" w:rsidRPr="005C783F" w14:paraId="7EC6C871" w14:textId="77777777" w:rsidTr="005C783F">
        <w:tc>
          <w:tcPr>
            <w:tcW w:w="4036" w:type="pct"/>
            <w:shd w:val="clear" w:color="auto" w:fill="auto"/>
            <w:tcMar>
              <w:top w:w="0" w:type="dxa"/>
              <w:bottom w:w="0" w:type="dxa"/>
            </w:tcMar>
            <w:vAlign w:val="center"/>
          </w:tcPr>
          <w:p w14:paraId="28757C07" w14:textId="77777777" w:rsidR="007C295C" w:rsidRPr="005C783F" w:rsidRDefault="00ED0C46" w:rsidP="005C783F">
            <w:pPr>
              <w:numPr>
                <w:ilvl w:val="0"/>
                <w:numId w:val="1"/>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t>Prepayment round 2 in January 2024: 10%</w:t>
            </w:r>
          </w:p>
        </w:tc>
        <w:tc>
          <w:tcPr>
            <w:tcW w:w="964" w:type="pct"/>
            <w:shd w:val="clear" w:color="auto" w:fill="auto"/>
            <w:tcMar>
              <w:top w:w="0" w:type="dxa"/>
              <w:bottom w:w="0" w:type="dxa"/>
            </w:tcMar>
            <w:vAlign w:val="center"/>
          </w:tcPr>
          <w:p w14:paraId="3E23CEF1"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16,370,526,000</w:t>
            </w:r>
          </w:p>
        </w:tc>
      </w:tr>
      <w:tr w:rsidR="007C295C" w:rsidRPr="005C783F" w14:paraId="4044B12C" w14:textId="77777777" w:rsidTr="005C783F">
        <w:tc>
          <w:tcPr>
            <w:tcW w:w="4036" w:type="pct"/>
            <w:shd w:val="clear" w:color="auto" w:fill="auto"/>
            <w:tcMar>
              <w:top w:w="0" w:type="dxa"/>
              <w:bottom w:w="0" w:type="dxa"/>
            </w:tcMar>
            <w:vAlign w:val="center"/>
          </w:tcPr>
          <w:p w14:paraId="2B048F89" w14:textId="77777777" w:rsidR="007C295C" w:rsidRPr="005C783F" w:rsidRDefault="00ED0C46" w:rsidP="005C783F">
            <w:pPr>
              <w:numPr>
                <w:ilvl w:val="0"/>
                <w:numId w:val="1"/>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t>3rd installment payment (After approval by the Congress): 13%</w:t>
            </w:r>
          </w:p>
        </w:tc>
        <w:tc>
          <w:tcPr>
            <w:tcW w:w="964" w:type="pct"/>
            <w:shd w:val="clear" w:color="auto" w:fill="auto"/>
            <w:tcMar>
              <w:top w:w="0" w:type="dxa"/>
              <w:bottom w:w="0" w:type="dxa"/>
            </w:tcMar>
            <w:vAlign w:val="center"/>
          </w:tcPr>
          <w:p w14:paraId="6903579A"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21,281,684,000</w:t>
            </w:r>
          </w:p>
        </w:tc>
      </w:tr>
      <w:tr w:rsidR="007C295C" w:rsidRPr="005C783F" w14:paraId="3DB8CCD1" w14:textId="77777777" w:rsidTr="005C783F">
        <w:tc>
          <w:tcPr>
            <w:tcW w:w="4036" w:type="pct"/>
            <w:shd w:val="clear" w:color="auto" w:fill="auto"/>
            <w:tcMar>
              <w:top w:w="0" w:type="dxa"/>
              <w:bottom w:w="0" w:type="dxa"/>
            </w:tcMar>
            <w:vAlign w:val="center"/>
          </w:tcPr>
          <w:p w14:paraId="264DB2FD" w14:textId="77777777" w:rsidR="007C295C" w:rsidRPr="005C783F" w:rsidRDefault="00ED0C46" w:rsidP="005C783F">
            <w:pPr>
              <w:numPr>
                <w:ilvl w:val="0"/>
                <w:numId w:val="3"/>
              </w:numPr>
              <w:pBdr>
                <w:top w:val="nil"/>
                <w:left w:val="nil"/>
                <w:bottom w:val="nil"/>
                <w:right w:val="nil"/>
                <w:between w:val="nil"/>
              </w:pBdr>
              <w:spacing w:after="120" w:line="360" w:lineRule="auto"/>
              <w:ind w:left="0" w:firstLine="0"/>
              <w:rPr>
                <w:rFonts w:ascii="Arial" w:eastAsia="Arial" w:hAnsi="Arial" w:cs="Arial"/>
                <w:color w:val="010000"/>
                <w:sz w:val="20"/>
                <w:szCs w:val="20"/>
              </w:rPr>
            </w:pPr>
            <w:r>
              <w:rPr>
                <w:rFonts w:ascii="Arial" w:hAnsi="Arial"/>
                <w:color w:val="010000"/>
                <w:sz w:val="20"/>
              </w:rPr>
              <w:t>Remaining 2023 profit (5=3-4)</w:t>
            </w:r>
          </w:p>
        </w:tc>
        <w:tc>
          <w:tcPr>
            <w:tcW w:w="964" w:type="pct"/>
            <w:shd w:val="clear" w:color="auto" w:fill="auto"/>
            <w:tcMar>
              <w:top w:w="0" w:type="dxa"/>
              <w:bottom w:w="0" w:type="dxa"/>
            </w:tcMar>
            <w:vAlign w:val="center"/>
          </w:tcPr>
          <w:p w14:paraId="0DD84AC3"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24,063,082,720</w:t>
            </w:r>
          </w:p>
        </w:tc>
      </w:tr>
    </w:tbl>
    <w:p w14:paraId="75964DAE" w14:textId="61EF0CAE" w:rsidR="007C295C" w:rsidRPr="005C783F" w:rsidRDefault="00ED0C46" w:rsidP="00DA6115">
      <w:pPr>
        <w:keepNext/>
        <w:pBdr>
          <w:top w:val="nil"/>
          <w:left w:val="nil"/>
          <w:bottom w:val="nil"/>
          <w:right w:val="nil"/>
          <w:between w:val="nil"/>
        </w:pBdr>
        <w:spacing w:after="120" w:line="360" w:lineRule="auto"/>
        <w:jc w:val="both"/>
        <w:rPr>
          <w:rFonts w:ascii="Arial" w:eastAsia="Arial" w:hAnsi="Arial" w:cs="Arial"/>
          <w:color w:val="010000"/>
          <w:sz w:val="20"/>
          <w:szCs w:val="20"/>
        </w:rPr>
      </w:pPr>
      <w:bookmarkStart w:id="1" w:name="_GoBack"/>
      <w:r>
        <w:rPr>
          <w:rFonts w:ascii="Arial" w:hAnsi="Arial"/>
          <w:color w:val="010000"/>
          <w:sz w:val="20"/>
        </w:rPr>
        <w:t xml:space="preserve">Article IV: Approve proposal to authorize the Board </w:t>
      </w:r>
      <w:r w:rsidR="00FC2850">
        <w:rPr>
          <w:rFonts w:ascii="Arial" w:hAnsi="Arial"/>
          <w:color w:val="010000"/>
          <w:sz w:val="20"/>
        </w:rPr>
        <w:t>o</w:t>
      </w:r>
      <w:r>
        <w:rPr>
          <w:rFonts w:ascii="Arial" w:hAnsi="Arial"/>
          <w:color w:val="010000"/>
          <w:sz w:val="20"/>
        </w:rPr>
        <w:t xml:space="preserve">f Directors to select an auditing company for the Financial Report 2024 </w:t>
      </w:r>
    </w:p>
    <w:p w14:paraId="222F11A9"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The General Meeting of Shareholders authorized the Board of Directors to decide on the selection of an auditing company for the Financial Statements 2024.</w:t>
      </w:r>
    </w:p>
    <w:p w14:paraId="02C54735" w14:textId="77777777" w:rsidR="007C295C" w:rsidRPr="005C783F" w:rsidRDefault="00ED0C46" w:rsidP="00DA6115">
      <w:pPr>
        <w:keepNext/>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Article V: Approve the Tam Duc plan in 2024:</w:t>
      </w:r>
    </w:p>
    <w:p w14:paraId="65496251"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On personnel: Tam Duc Cardiology hospital joint stock </w:t>
      </w:r>
      <w:proofErr w:type="gramStart"/>
      <w:r>
        <w:rPr>
          <w:rFonts w:ascii="Arial" w:hAnsi="Arial"/>
          <w:color w:val="010000"/>
          <w:sz w:val="20"/>
        </w:rPr>
        <w:t>company</w:t>
      </w:r>
      <w:proofErr w:type="gramEnd"/>
      <w:r>
        <w:rPr>
          <w:rFonts w:ascii="Arial" w:hAnsi="Arial"/>
          <w:color w:val="010000"/>
          <w:sz w:val="20"/>
        </w:rPr>
        <w:t xml:space="preserve"> has been operating stably and developing for 18 years. Tam </w:t>
      </w:r>
      <w:proofErr w:type="spellStart"/>
      <w:r>
        <w:rPr>
          <w:rFonts w:ascii="Arial" w:hAnsi="Arial"/>
          <w:color w:val="010000"/>
          <w:sz w:val="20"/>
        </w:rPr>
        <w:t>Duc's</w:t>
      </w:r>
      <w:proofErr w:type="spellEnd"/>
      <w:r>
        <w:rPr>
          <w:rFonts w:ascii="Arial" w:hAnsi="Arial"/>
          <w:color w:val="010000"/>
          <w:sz w:val="20"/>
        </w:rPr>
        <w:t xml:space="preserve"> leadership and expertise team has matured, but it is necessary to continue recruiting and providing postgraduate training in key technical positions such as emergency resuscitation, cardiac catheterization and prepare the succeeding leadership force.</w:t>
      </w:r>
    </w:p>
    <w:p w14:paraId="4B4DA1C2"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On expertise: In 2024, medical examination, emergency care and inpatient treatment increase by 5% compared to in 2023. Heart surgery must reach over </w:t>
      </w:r>
      <w:proofErr w:type="gramStart"/>
      <w:r>
        <w:rPr>
          <w:rFonts w:ascii="Arial" w:hAnsi="Arial"/>
          <w:color w:val="010000"/>
          <w:sz w:val="20"/>
        </w:rPr>
        <w:t>400,</w:t>
      </w:r>
      <w:proofErr w:type="gramEnd"/>
      <w:r>
        <w:rPr>
          <w:rFonts w:ascii="Arial" w:hAnsi="Arial"/>
          <w:color w:val="010000"/>
          <w:sz w:val="20"/>
        </w:rPr>
        <w:t xml:space="preserve"> interventional cardiac catheterization and cardiac electrophysiology must reach over 2,000.</w:t>
      </w:r>
    </w:p>
    <w:p w14:paraId="7C436245" w14:textId="6A458398" w:rsidR="007C295C" w:rsidRPr="005C783F" w:rsidRDefault="00F97BBF"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About finance:</w:t>
      </w:r>
    </w:p>
    <w:p w14:paraId="401DE641"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Total revenue: VND 700 billion</w:t>
      </w:r>
    </w:p>
    <w:p w14:paraId="561728C0"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Profit before tax: VND 90 billion</w:t>
      </w:r>
    </w:p>
    <w:p w14:paraId="51831F1F"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Profit after tax: VND 82 billion</w:t>
      </w:r>
    </w:p>
    <w:p w14:paraId="2E4DCC24"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Dividends: 33%/par value</w:t>
      </w:r>
    </w:p>
    <w:p w14:paraId="799D5FC9" w14:textId="77777777" w:rsidR="007C295C" w:rsidRPr="005C783F" w:rsidRDefault="00ED0C46" w:rsidP="00DA6115">
      <w:pPr>
        <w:keepNext/>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Article VI: Approve the appropriation for funds plan in 2024</w:t>
      </w:r>
    </w:p>
    <w:p w14:paraId="257092A4" w14:textId="77777777" w:rsidR="007C295C" w:rsidRPr="005C783F" w:rsidRDefault="00ED0C46" w:rsidP="00DA6115">
      <w:pPr>
        <w:pBdr>
          <w:top w:val="nil"/>
          <w:left w:val="nil"/>
          <w:bottom w:val="nil"/>
          <w:right w:val="nil"/>
          <w:between w:val="nil"/>
        </w:pBdr>
        <w:tabs>
          <w:tab w:val="left" w:pos="4303"/>
          <w:tab w:val="left" w:pos="4874"/>
        </w:tabs>
        <w:spacing w:after="120" w:line="360" w:lineRule="auto"/>
        <w:jc w:val="both"/>
        <w:rPr>
          <w:rFonts w:ascii="Arial" w:eastAsia="Arial" w:hAnsi="Arial" w:cs="Arial"/>
          <w:color w:val="010000"/>
          <w:sz w:val="20"/>
          <w:szCs w:val="20"/>
        </w:rPr>
      </w:pPr>
      <w:r>
        <w:rPr>
          <w:rFonts w:ascii="Arial" w:hAnsi="Arial"/>
          <w:color w:val="010000"/>
          <w:sz w:val="20"/>
        </w:rPr>
        <w:t>Board of Directors' operating fund: 3.6%/ Profit after tax</w:t>
      </w:r>
    </w:p>
    <w:p w14:paraId="6AB6515A" w14:textId="77777777" w:rsidR="007C295C" w:rsidRPr="005C783F" w:rsidRDefault="00ED0C46" w:rsidP="00DA6115">
      <w:pPr>
        <w:pBdr>
          <w:top w:val="nil"/>
          <w:left w:val="nil"/>
          <w:bottom w:val="nil"/>
          <w:right w:val="nil"/>
          <w:between w:val="nil"/>
        </w:pBdr>
        <w:tabs>
          <w:tab w:val="left" w:pos="4303"/>
          <w:tab w:val="left" w:pos="4874"/>
        </w:tabs>
        <w:spacing w:after="120" w:line="360" w:lineRule="auto"/>
        <w:jc w:val="both"/>
        <w:rPr>
          <w:rFonts w:ascii="Arial" w:eastAsia="Arial" w:hAnsi="Arial" w:cs="Arial"/>
          <w:color w:val="010000"/>
          <w:sz w:val="20"/>
          <w:szCs w:val="20"/>
        </w:rPr>
      </w:pPr>
      <w:r>
        <w:rPr>
          <w:rFonts w:ascii="Arial" w:hAnsi="Arial"/>
          <w:color w:val="010000"/>
          <w:sz w:val="20"/>
        </w:rPr>
        <w:t>Bonus and welfare fund: VND 3.5 billion</w:t>
      </w:r>
    </w:p>
    <w:p w14:paraId="6F5BD73D" w14:textId="77777777" w:rsidR="007C295C" w:rsidRPr="005C783F" w:rsidRDefault="00ED0C46" w:rsidP="00DA6115">
      <w:pPr>
        <w:keepNext/>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Article VII: Approve the dividend payment plan in 2024</w:t>
      </w:r>
    </w:p>
    <w:p w14:paraId="315D2E6E"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Prepayment for the first round of dividends in 2024 at the rate of 10%/par value: August 2024</w:t>
      </w:r>
    </w:p>
    <w:p w14:paraId="5ECB01C2"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Prepayment for the second round of dividends in 2024 at the rate of 10%/par value: January 2025</w:t>
      </w:r>
    </w:p>
    <w:p w14:paraId="2D0F5A7A"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Prepayment for the third round of dividends in 2024 at the rate of 13%/par value: After the General Meeting of Shareholder 2025</w:t>
      </w:r>
    </w:p>
    <w:p w14:paraId="410EBC7B" w14:textId="77777777" w:rsidR="007C295C" w:rsidRPr="005C783F" w:rsidRDefault="00ED0C46" w:rsidP="00DA6115">
      <w:pPr>
        <w:keepNext/>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lastRenderedPageBreak/>
        <w:t>Article VIII: Approve the election of members for the Board of Directors for term VII of 2024-2028;</w:t>
      </w:r>
    </w:p>
    <w:p w14:paraId="6D61A36E"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Election results:</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38"/>
        <w:gridCol w:w="8209"/>
      </w:tblGrid>
      <w:tr w:rsidR="007C295C" w:rsidRPr="005C783F" w14:paraId="77E50A6F" w14:textId="77777777" w:rsidTr="005C783F">
        <w:tc>
          <w:tcPr>
            <w:tcW w:w="463" w:type="pct"/>
            <w:shd w:val="clear" w:color="auto" w:fill="auto"/>
            <w:tcMar>
              <w:top w:w="0" w:type="dxa"/>
              <w:bottom w:w="0" w:type="dxa"/>
            </w:tcMar>
            <w:vAlign w:val="center"/>
          </w:tcPr>
          <w:bookmarkEnd w:id="1"/>
          <w:p w14:paraId="55C7B09D"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No.</w:t>
            </w:r>
          </w:p>
        </w:tc>
        <w:tc>
          <w:tcPr>
            <w:tcW w:w="4537" w:type="pct"/>
            <w:shd w:val="clear" w:color="auto" w:fill="auto"/>
            <w:tcMar>
              <w:top w:w="0" w:type="dxa"/>
              <w:bottom w:w="0" w:type="dxa"/>
            </w:tcMar>
            <w:vAlign w:val="center"/>
          </w:tcPr>
          <w:p w14:paraId="68CF6866"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Full name</w:t>
            </w:r>
          </w:p>
        </w:tc>
      </w:tr>
      <w:tr w:rsidR="007C295C" w:rsidRPr="005C783F" w14:paraId="486A7F4F" w14:textId="77777777" w:rsidTr="005C783F">
        <w:tc>
          <w:tcPr>
            <w:tcW w:w="463" w:type="pct"/>
            <w:shd w:val="clear" w:color="auto" w:fill="auto"/>
            <w:tcMar>
              <w:top w:w="0" w:type="dxa"/>
              <w:bottom w:w="0" w:type="dxa"/>
            </w:tcMar>
            <w:vAlign w:val="center"/>
          </w:tcPr>
          <w:p w14:paraId="28CE4E6B"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01</w:t>
            </w:r>
          </w:p>
        </w:tc>
        <w:tc>
          <w:tcPr>
            <w:tcW w:w="4537" w:type="pct"/>
            <w:shd w:val="clear" w:color="auto" w:fill="auto"/>
            <w:tcMar>
              <w:top w:w="0" w:type="dxa"/>
              <w:bottom w:w="0" w:type="dxa"/>
            </w:tcMar>
            <w:vAlign w:val="center"/>
          </w:tcPr>
          <w:p w14:paraId="0DA32FB9" w14:textId="3699B294"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 xml:space="preserve">Dr. Doctor. Nguyen Ngoc </w:t>
            </w:r>
            <w:proofErr w:type="spellStart"/>
            <w:r>
              <w:rPr>
                <w:rFonts w:ascii="Arial" w:hAnsi="Arial"/>
                <w:color w:val="010000"/>
                <w:sz w:val="20"/>
              </w:rPr>
              <w:t>Chieu</w:t>
            </w:r>
            <w:proofErr w:type="spellEnd"/>
          </w:p>
        </w:tc>
      </w:tr>
      <w:tr w:rsidR="007C295C" w:rsidRPr="005C783F" w14:paraId="54C1E101" w14:textId="77777777" w:rsidTr="005C783F">
        <w:tc>
          <w:tcPr>
            <w:tcW w:w="463" w:type="pct"/>
            <w:shd w:val="clear" w:color="auto" w:fill="auto"/>
            <w:tcMar>
              <w:top w:w="0" w:type="dxa"/>
              <w:bottom w:w="0" w:type="dxa"/>
            </w:tcMar>
            <w:vAlign w:val="center"/>
          </w:tcPr>
          <w:p w14:paraId="38A2CEE5"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02</w:t>
            </w:r>
          </w:p>
        </w:tc>
        <w:tc>
          <w:tcPr>
            <w:tcW w:w="4537" w:type="pct"/>
            <w:shd w:val="clear" w:color="auto" w:fill="auto"/>
            <w:tcMar>
              <w:top w:w="0" w:type="dxa"/>
              <w:bottom w:w="0" w:type="dxa"/>
            </w:tcMar>
            <w:vAlign w:val="center"/>
          </w:tcPr>
          <w:p w14:paraId="58E7EED2"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Master. Doctor Phan Kim Phuong</w:t>
            </w:r>
          </w:p>
        </w:tc>
      </w:tr>
      <w:tr w:rsidR="007C295C" w:rsidRPr="005C783F" w14:paraId="287AEF91" w14:textId="77777777" w:rsidTr="005C783F">
        <w:tc>
          <w:tcPr>
            <w:tcW w:w="463" w:type="pct"/>
            <w:shd w:val="clear" w:color="auto" w:fill="auto"/>
            <w:tcMar>
              <w:top w:w="0" w:type="dxa"/>
              <w:bottom w:w="0" w:type="dxa"/>
            </w:tcMar>
            <w:vAlign w:val="center"/>
          </w:tcPr>
          <w:p w14:paraId="2CE1C0BA"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03</w:t>
            </w:r>
          </w:p>
        </w:tc>
        <w:tc>
          <w:tcPr>
            <w:tcW w:w="4537" w:type="pct"/>
            <w:shd w:val="clear" w:color="auto" w:fill="auto"/>
            <w:tcMar>
              <w:top w:w="0" w:type="dxa"/>
              <w:bottom w:w="0" w:type="dxa"/>
            </w:tcMar>
            <w:vAlign w:val="center"/>
          </w:tcPr>
          <w:p w14:paraId="6BAB5F7B"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Dr. Doctor Chu Trong Hiep</w:t>
            </w:r>
          </w:p>
        </w:tc>
      </w:tr>
      <w:tr w:rsidR="007C295C" w:rsidRPr="005C783F" w14:paraId="496896BF" w14:textId="77777777" w:rsidTr="005C783F">
        <w:tc>
          <w:tcPr>
            <w:tcW w:w="463" w:type="pct"/>
            <w:shd w:val="clear" w:color="auto" w:fill="auto"/>
            <w:tcMar>
              <w:top w:w="0" w:type="dxa"/>
              <w:bottom w:w="0" w:type="dxa"/>
            </w:tcMar>
            <w:vAlign w:val="center"/>
          </w:tcPr>
          <w:p w14:paraId="0F454726"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04</w:t>
            </w:r>
          </w:p>
        </w:tc>
        <w:tc>
          <w:tcPr>
            <w:tcW w:w="4537" w:type="pct"/>
            <w:shd w:val="clear" w:color="auto" w:fill="auto"/>
            <w:tcMar>
              <w:top w:w="0" w:type="dxa"/>
              <w:bottom w:w="0" w:type="dxa"/>
            </w:tcMar>
            <w:vAlign w:val="center"/>
          </w:tcPr>
          <w:p w14:paraId="6FC73C7E"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Master Pham Anh Dung</w:t>
            </w:r>
          </w:p>
        </w:tc>
      </w:tr>
      <w:tr w:rsidR="007C295C" w:rsidRPr="005C783F" w14:paraId="1A0F3C85" w14:textId="77777777" w:rsidTr="005C783F">
        <w:tc>
          <w:tcPr>
            <w:tcW w:w="463" w:type="pct"/>
            <w:shd w:val="clear" w:color="auto" w:fill="auto"/>
            <w:tcMar>
              <w:top w:w="0" w:type="dxa"/>
              <w:bottom w:w="0" w:type="dxa"/>
            </w:tcMar>
            <w:vAlign w:val="center"/>
          </w:tcPr>
          <w:p w14:paraId="4C6C09A8"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05</w:t>
            </w:r>
          </w:p>
        </w:tc>
        <w:tc>
          <w:tcPr>
            <w:tcW w:w="4537" w:type="pct"/>
            <w:shd w:val="clear" w:color="auto" w:fill="auto"/>
            <w:tcMar>
              <w:top w:w="0" w:type="dxa"/>
              <w:bottom w:w="0" w:type="dxa"/>
            </w:tcMar>
            <w:vAlign w:val="center"/>
          </w:tcPr>
          <w:p w14:paraId="67BB5DED" w14:textId="77777777" w:rsidR="007C295C" w:rsidRPr="005C783F" w:rsidRDefault="00ED0C46" w:rsidP="005C783F">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Doctor Pham Bich Xuan</w:t>
            </w:r>
          </w:p>
        </w:tc>
      </w:tr>
    </w:tbl>
    <w:p w14:paraId="5591719D"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Based on the Rules for electing members of the Board of Directors, the Election Committee determined 5 candidates were elected to the Board of Directors for the term VII of 2024-2028.</w:t>
      </w:r>
    </w:p>
    <w:p w14:paraId="47C06FD2"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The Board of Directors Term VII of 2024-2028 met for the first session on April 27, 2024 to elect Dr. Nguyen Ngoc </w:t>
      </w:r>
      <w:proofErr w:type="spellStart"/>
      <w:r>
        <w:rPr>
          <w:rFonts w:ascii="Arial" w:hAnsi="Arial"/>
          <w:color w:val="010000"/>
          <w:sz w:val="20"/>
        </w:rPr>
        <w:t>Chieu</w:t>
      </w:r>
      <w:proofErr w:type="spellEnd"/>
      <w:r>
        <w:rPr>
          <w:rFonts w:ascii="Arial" w:hAnsi="Arial"/>
          <w:color w:val="010000"/>
          <w:sz w:val="20"/>
        </w:rPr>
        <w:t xml:space="preserve"> as the Chair of the Board of Directors</w:t>
      </w:r>
    </w:p>
    <w:p w14:paraId="3C8EB8AF"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Article IX: Approve the investment plan for coronary attachment and intervention system number 4 with a price at above and below VND 20 billion with a configuration suitable for professional requirements by Q4/2024, the method to be decided by the board of directors.</w:t>
      </w:r>
    </w:p>
    <w:p w14:paraId="4A4FF2E8" w14:textId="77777777" w:rsidR="007C295C" w:rsidRPr="005C783F" w:rsidRDefault="00ED0C46" w:rsidP="00DA6115">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This General Mandate was read in front of the Meeting and approved by the Meeting at 11:10 a.m. on April 27, 2024.</w:t>
      </w:r>
    </w:p>
    <w:sectPr w:rsidR="007C295C" w:rsidRPr="005C783F" w:rsidSect="00203FA7">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C7CED17-422B-49EA-B381-39C259F566C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3DD7949-7794-4DD0-8A3B-6A4E6089CAC7}"/>
    <w:embedItalic r:id="rId3" w:fontKey="{8DFBA50D-9F42-4484-9DC8-F67D925878A5}"/>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F80C761F-A09C-4418-877A-3158352345EE}"/>
  </w:font>
  <w:font w:name="等线">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5C0C1F0B-BDF7-42C5-AB2A-D2669AA6DCD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D069D"/>
    <w:multiLevelType w:val="multilevel"/>
    <w:tmpl w:val="0CA0C97C"/>
    <w:lvl w:ilvl="0">
      <w:start w:val="1"/>
      <w:numFmt w:val="bullet"/>
      <w:lvlText w:val="−"/>
      <w:lvlJc w:val="left"/>
      <w:pPr>
        <w:ind w:left="720" w:hanging="360"/>
      </w:pPr>
      <w:rPr>
        <w:rFonts w:ascii="Arial" w:eastAsia="Noto Sans Symbols" w:hAnsi="Arial" w:cs="Arial"/>
        <w:b w:val="0"/>
        <w:i w:val="0"/>
        <w:sz w:val="20"/>
        <w:szCs w:val="20"/>
        <w:u w:val="none"/>
      </w:rPr>
    </w:lvl>
    <w:lvl w:ilvl="1">
      <w:start w:val="1"/>
      <w:numFmt w:val="bullet"/>
      <w:lvlText w:val="o"/>
      <w:lvlJc w:val="left"/>
      <w:pPr>
        <w:ind w:left="1440" w:hanging="360"/>
      </w:pPr>
      <w:rPr>
        <w:rFonts w:ascii="Arial" w:eastAsia="Courier New" w:hAnsi="Arial" w:cs="Arial"/>
        <w:b w:val="0"/>
        <w:i w:val="0"/>
        <w:sz w:val="20"/>
        <w:szCs w:val="20"/>
      </w:rPr>
    </w:lvl>
    <w:lvl w:ilvl="2">
      <w:start w:val="1"/>
      <w:numFmt w:val="bullet"/>
      <w:lvlText w:val="▪"/>
      <w:lvlJc w:val="left"/>
      <w:pPr>
        <w:ind w:left="2160" w:hanging="360"/>
      </w:pPr>
      <w:rPr>
        <w:rFonts w:ascii="Arial" w:eastAsia="Noto Sans Symbols"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06F136C"/>
    <w:multiLevelType w:val="multilevel"/>
    <w:tmpl w:val="91FC0AE6"/>
    <w:lvl w:ilvl="0">
      <w:start w:val="1"/>
      <w:numFmt w:val="decimal"/>
      <w:lvlText w:val="%1."/>
      <w:lvlJc w:val="left"/>
      <w:pPr>
        <w:ind w:left="720" w:hanging="360"/>
      </w:pPr>
      <w:rPr>
        <w:rFonts w:ascii="Arial" w:hAnsi="Arial" w:cs="Arial"/>
        <w:b w:val="0"/>
        <w:i w:val="0"/>
        <w:sz w:val="20"/>
        <w:szCs w:val="20"/>
        <w:u w:val="none"/>
      </w:rPr>
    </w:lvl>
    <w:lvl w:ilvl="1">
      <w:start w:val="1"/>
      <w:numFmt w:val="lowerLetter"/>
      <w:lvlText w:val="%2."/>
      <w:lvlJc w:val="left"/>
      <w:pPr>
        <w:ind w:left="1440" w:hanging="360"/>
      </w:pPr>
      <w:rPr>
        <w:rFonts w:ascii="Arial" w:hAnsi="Arial" w:cs="Arial"/>
        <w:b w:val="0"/>
        <w:i w:val="0"/>
        <w:sz w:val="20"/>
        <w:szCs w:val="20"/>
      </w:rPr>
    </w:lvl>
    <w:lvl w:ilvl="2">
      <w:start w:val="1"/>
      <w:numFmt w:val="lowerRoman"/>
      <w:lvlText w:val="%3."/>
      <w:lvlJc w:val="right"/>
      <w:pPr>
        <w:ind w:left="2160" w:hanging="180"/>
      </w:pPr>
      <w:rPr>
        <w:rFonts w:ascii="Arial" w:hAnsi="Arial" w:cs="Arial"/>
        <w:b w:val="0"/>
        <w:i w:val="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BAA60E5"/>
    <w:multiLevelType w:val="multilevel"/>
    <w:tmpl w:val="83F022A0"/>
    <w:lvl w:ilvl="0">
      <w:start w:val="1"/>
      <w:numFmt w:val="bullet"/>
      <w:lvlText w:val="−"/>
      <w:lvlJc w:val="left"/>
      <w:pPr>
        <w:ind w:left="720" w:hanging="360"/>
      </w:pPr>
      <w:rPr>
        <w:rFonts w:ascii="Arial" w:eastAsia="Noto Sans Symbols" w:hAnsi="Arial" w:cs="Arial"/>
        <w:b w:val="0"/>
        <w:i w:val="0"/>
        <w:sz w:val="20"/>
        <w:szCs w:val="20"/>
        <w:u w:val="none"/>
      </w:rPr>
    </w:lvl>
    <w:lvl w:ilvl="1">
      <w:start w:val="1"/>
      <w:numFmt w:val="lowerLetter"/>
      <w:lvlText w:val="%2."/>
      <w:lvlJc w:val="left"/>
      <w:pPr>
        <w:ind w:left="1440" w:hanging="360"/>
      </w:pPr>
      <w:rPr>
        <w:rFonts w:ascii="Arial" w:hAnsi="Arial" w:cs="Arial"/>
        <w:b w:val="0"/>
        <w:i w:val="0"/>
        <w:sz w:val="20"/>
        <w:szCs w:val="20"/>
      </w:rPr>
    </w:lvl>
    <w:lvl w:ilvl="2">
      <w:start w:val="1"/>
      <w:numFmt w:val="lowerRoman"/>
      <w:lvlText w:val="%3."/>
      <w:lvlJc w:val="right"/>
      <w:pPr>
        <w:ind w:left="2160" w:hanging="180"/>
      </w:pPr>
      <w:rPr>
        <w:rFonts w:ascii="Arial" w:hAnsi="Arial" w:cs="Arial"/>
        <w:b w:val="0"/>
        <w:i w:val="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95C"/>
    <w:rsid w:val="00203FA7"/>
    <w:rsid w:val="00224224"/>
    <w:rsid w:val="005C783F"/>
    <w:rsid w:val="007C295C"/>
    <w:rsid w:val="00C27694"/>
    <w:rsid w:val="00DA6115"/>
    <w:rsid w:val="00DE0316"/>
    <w:rsid w:val="00E207F6"/>
    <w:rsid w:val="00E82348"/>
    <w:rsid w:val="00ED0C46"/>
    <w:rsid w:val="00F97BBF"/>
    <w:rsid w:val="00FC2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4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12"/>
      <w:szCs w:val="12"/>
      <w:u w:val="none"/>
      <w:shd w:val="clear" w:color="auto" w:fill="auto"/>
    </w:rPr>
  </w:style>
  <w:style w:type="character" w:customStyle="1" w:styleId="Vnbnnidung2">
    <w:name w:val="Văn bản nội dung (2)_"/>
    <w:basedOn w:val="DefaultParagraphFont"/>
    <w:link w:val="Vnbnnidung20"/>
    <w:rPr>
      <w:rFonts w:ascii="Arial" w:eastAsia="Arial" w:hAnsi="Arial" w:cs="Arial"/>
      <w:b w:val="0"/>
      <w:bCs w:val="0"/>
      <w:i w:val="0"/>
      <w:iCs w:val="0"/>
      <w:smallCaps w:val="0"/>
      <w:strike w:val="0"/>
      <w:sz w:val="8"/>
      <w:szCs w:val="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color w:val="28282F"/>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color w:val="28282F"/>
      <w:sz w:val="19"/>
      <w:szCs w:val="19"/>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E7506B"/>
      <w:sz w:val="14"/>
      <w:szCs w:val="14"/>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color w:val="28282F"/>
      <w:sz w:val="40"/>
      <w:szCs w:val="4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color w:val="28282F"/>
      <w:sz w:val="28"/>
      <w:szCs w:val="28"/>
      <w:u w:val="none"/>
      <w:shd w:val="clear" w:color="auto" w:fill="auto"/>
    </w:rPr>
  </w:style>
  <w:style w:type="character" w:customStyle="1" w:styleId="Tiu3">
    <w:name w:val="Tiêu đề #3_"/>
    <w:basedOn w:val="DefaultParagraphFont"/>
    <w:link w:val="Tiu30"/>
    <w:rPr>
      <w:rFonts w:ascii="Times New Roman" w:eastAsia="Times New Roman" w:hAnsi="Times New Roman" w:cs="Times New Roman"/>
      <w:b/>
      <w:bCs/>
      <w:i w:val="0"/>
      <w:iCs w:val="0"/>
      <w:smallCaps w:val="0"/>
      <w:strike w:val="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color w:val="28282F"/>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bCs/>
      <w:i w:val="0"/>
      <w:iCs w:val="0"/>
      <w:smallCaps w:val="0"/>
      <w:strike w:val="0"/>
      <w:u w:val="none"/>
      <w:shd w:val="clear" w:color="auto" w:fill="auto"/>
    </w:rPr>
  </w:style>
  <w:style w:type="paragraph" w:customStyle="1" w:styleId="Vnbnnidung40">
    <w:name w:val="Văn bản nội dung (4)"/>
    <w:basedOn w:val="Normal"/>
    <w:link w:val="Vnbnnidung4"/>
    <w:pPr>
      <w:jc w:val="center"/>
    </w:pPr>
    <w:rPr>
      <w:rFonts w:ascii="Arial" w:eastAsia="Arial" w:hAnsi="Arial" w:cs="Arial"/>
      <w:sz w:val="12"/>
      <w:szCs w:val="12"/>
    </w:rPr>
  </w:style>
  <w:style w:type="paragraph" w:customStyle="1" w:styleId="Vnbnnidung20">
    <w:name w:val="Văn bản nội dung (2)"/>
    <w:basedOn w:val="Normal"/>
    <w:link w:val="Vnbnnidung2"/>
    <w:pPr>
      <w:spacing w:line="151" w:lineRule="auto"/>
    </w:pPr>
    <w:rPr>
      <w:rFonts w:ascii="Arial" w:eastAsia="Arial" w:hAnsi="Arial" w:cs="Arial"/>
      <w:sz w:val="8"/>
      <w:szCs w:val="8"/>
    </w:rPr>
  </w:style>
  <w:style w:type="paragraph" w:customStyle="1" w:styleId="Vnbnnidung0">
    <w:name w:val="Văn bản nội dung"/>
    <w:basedOn w:val="Normal"/>
    <w:link w:val="Vnbnnidung"/>
    <w:rPr>
      <w:rFonts w:ascii="Times New Roman" w:eastAsia="Times New Roman" w:hAnsi="Times New Roman" w:cs="Times New Roman"/>
      <w:color w:val="28282F"/>
    </w:rPr>
  </w:style>
  <w:style w:type="paragraph" w:customStyle="1" w:styleId="Vnbnnidung30">
    <w:name w:val="Văn bản nội dung (3)"/>
    <w:basedOn w:val="Normal"/>
    <w:link w:val="Vnbnnidung3"/>
    <w:pPr>
      <w:jc w:val="center"/>
    </w:pPr>
    <w:rPr>
      <w:rFonts w:ascii="Times New Roman" w:eastAsia="Times New Roman" w:hAnsi="Times New Roman" w:cs="Times New Roman"/>
      <w:b/>
      <w:bCs/>
      <w:color w:val="28282F"/>
      <w:sz w:val="19"/>
      <w:szCs w:val="19"/>
    </w:rPr>
  </w:style>
  <w:style w:type="paragraph" w:customStyle="1" w:styleId="Vnbnnidung50">
    <w:name w:val="Văn bản nội dung (5)"/>
    <w:basedOn w:val="Normal"/>
    <w:link w:val="Vnbnnidung5"/>
    <w:rPr>
      <w:rFonts w:ascii="Arial" w:eastAsia="Arial" w:hAnsi="Arial" w:cs="Arial"/>
      <w:color w:val="E7506B"/>
      <w:sz w:val="14"/>
      <w:szCs w:val="14"/>
    </w:rPr>
  </w:style>
  <w:style w:type="paragraph" w:customStyle="1" w:styleId="Tiu10">
    <w:name w:val="Tiêu đề #1"/>
    <w:basedOn w:val="Normal"/>
    <w:link w:val="Tiu1"/>
    <w:pPr>
      <w:jc w:val="center"/>
      <w:outlineLvl w:val="0"/>
    </w:pPr>
    <w:rPr>
      <w:rFonts w:ascii="Times New Roman" w:eastAsia="Times New Roman" w:hAnsi="Times New Roman" w:cs="Times New Roman"/>
      <w:b/>
      <w:bCs/>
      <w:color w:val="28282F"/>
      <w:sz w:val="40"/>
      <w:szCs w:val="40"/>
    </w:rPr>
  </w:style>
  <w:style w:type="paragraph" w:customStyle="1" w:styleId="Tiu20">
    <w:name w:val="Tiêu đề #2"/>
    <w:basedOn w:val="Normal"/>
    <w:link w:val="Tiu2"/>
    <w:pPr>
      <w:jc w:val="center"/>
      <w:outlineLvl w:val="1"/>
    </w:pPr>
    <w:rPr>
      <w:rFonts w:ascii="Times New Roman" w:eastAsia="Times New Roman" w:hAnsi="Times New Roman" w:cs="Times New Roman"/>
      <w:b/>
      <w:bCs/>
      <w:color w:val="28282F"/>
      <w:sz w:val="28"/>
      <w:szCs w:val="28"/>
    </w:rPr>
  </w:style>
  <w:style w:type="paragraph" w:customStyle="1" w:styleId="Tiu30">
    <w:name w:val="Tiêu đề #3"/>
    <w:basedOn w:val="Normal"/>
    <w:link w:val="Tiu3"/>
    <w:pPr>
      <w:ind w:left="420"/>
      <w:outlineLvl w:val="2"/>
    </w:pPr>
    <w:rPr>
      <w:rFonts w:ascii="Times New Roman" w:eastAsia="Times New Roman" w:hAnsi="Times New Roman" w:cs="Times New Roman"/>
      <w:b/>
      <w:bCs/>
    </w:rPr>
  </w:style>
  <w:style w:type="paragraph" w:customStyle="1" w:styleId="Khc0">
    <w:name w:val="Khác"/>
    <w:basedOn w:val="Normal"/>
    <w:link w:val="Khc"/>
    <w:rPr>
      <w:rFonts w:ascii="Times New Roman" w:eastAsia="Times New Roman" w:hAnsi="Times New Roman" w:cs="Times New Roman"/>
      <w:color w:val="28282F"/>
    </w:rPr>
  </w:style>
  <w:style w:type="paragraph" w:customStyle="1" w:styleId="Chthchbng0">
    <w:name w:val="Chú thích bảng"/>
    <w:basedOn w:val="Normal"/>
    <w:link w:val="Chthchbng"/>
    <w:rPr>
      <w:rFonts w:ascii="Times New Roman" w:eastAsia="Times New Roman" w:hAnsi="Times New Roman" w:cs="Times New Roman"/>
      <w:b/>
      <w:bCs/>
    </w:rPr>
  </w:style>
  <w:style w:type="table" w:styleId="TableGrid">
    <w:name w:val="Table Grid"/>
    <w:basedOn w:val="TableNormal"/>
    <w:uiPriority w:val="39"/>
    <w:rsid w:val="00DF1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bottom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12"/>
      <w:szCs w:val="12"/>
      <w:u w:val="none"/>
      <w:shd w:val="clear" w:color="auto" w:fill="auto"/>
    </w:rPr>
  </w:style>
  <w:style w:type="character" w:customStyle="1" w:styleId="Vnbnnidung2">
    <w:name w:val="Văn bản nội dung (2)_"/>
    <w:basedOn w:val="DefaultParagraphFont"/>
    <w:link w:val="Vnbnnidung20"/>
    <w:rPr>
      <w:rFonts w:ascii="Arial" w:eastAsia="Arial" w:hAnsi="Arial" w:cs="Arial"/>
      <w:b w:val="0"/>
      <w:bCs w:val="0"/>
      <w:i w:val="0"/>
      <w:iCs w:val="0"/>
      <w:smallCaps w:val="0"/>
      <w:strike w:val="0"/>
      <w:sz w:val="8"/>
      <w:szCs w:val="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color w:val="28282F"/>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color w:val="28282F"/>
      <w:sz w:val="19"/>
      <w:szCs w:val="19"/>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E7506B"/>
      <w:sz w:val="14"/>
      <w:szCs w:val="14"/>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color w:val="28282F"/>
      <w:sz w:val="40"/>
      <w:szCs w:val="4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color w:val="28282F"/>
      <w:sz w:val="28"/>
      <w:szCs w:val="28"/>
      <w:u w:val="none"/>
      <w:shd w:val="clear" w:color="auto" w:fill="auto"/>
    </w:rPr>
  </w:style>
  <w:style w:type="character" w:customStyle="1" w:styleId="Tiu3">
    <w:name w:val="Tiêu đề #3_"/>
    <w:basedOn w:val="DefaultParagraphFont"/>
    <w:link w:val="Tiu30"/>
    <w:rPr>
      <w:rFonts w:ascii="Times New Roman" w:eastAsia="Times New Roman" w:hAnsi="Times New Roman" w:cs="Times New Roman"/>
      <w:b/>
      <w:bCs/>
      <w:i w:val="0"/>
      <w:iCs w:val="0"/>
      <w:smallCaps w:val="0"/>
      <w:strike w:val="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color w:val="28282F"/>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bCs/>
      <w:i w:val="0"/>
      <w:iCs w:val="0"/>
      <w:smallCaps w:val="0"/>
      <w:strike w:val="0"/>
      <w:u w:val="none"/>
      <w:shd w:val="clear" w:color="auto" w:fill="auto"/>
    </w:rPr>
  </w:style>
  <w:style w:type="paragraph" w:customStyle="1" w:styleId="Vnbnnidung40">
    <w:name w:val="Văn bản nội dung (4)"/>
    <w:basedOn w:val="Normal"/>
    <w:link w:val="Vnbnnidung4"/>
    <w:pPr>
      <w:jc w:val="center"/>
    </w:pPr>
    <w:rPr>
      <w:rFonts w:ascii="Arial" w:eastAsia="Arial" w:hAnsi="Arial" w:cs="Arial"/>
      <w:sz w:val="12"/>
      <w:szCs w:val="12"/>
    </w:rPr>
  </w:style>
  <w:style w:type="paragraph" w:customStyle="1" w:styleId="Vnbnnidung20">
    <w:name w:val="Văn bản nội dung (2)"/>
    <w:basedOn w:val="Normal"/>
    <w:link w:val="Vnbnnidung2"/>
    <w:pPr>
      <w:spacing w:line="151" w:lineRule="auto"/>
    </w:pPr>
    <w:rPr>
      <w:rFonts w:ascii="Arial" w:eastAsia="Arial" w:hAnsi="Arial" w:cs="Arial"/>
      <w:sz w:val="8"/>
      <w:szCs w:val="8"/>
    </w:rPr>
  </w:style>
  <w:style w:type="paragraph" w:customStyle="1" w:styleId="Vnbnnidung0">
    <w:name w:val="Văn bản nội dung"/>
    <w:basedOn w:val="Normal"/>
    <w:link w:val="Vnbnnidung"/>
    <w:rPr>
      <w:rFonts w:ascii="Times New Roman" w:eastAsia="Times New Roman" w:hAnsi="Times New Roman" w:cs="Times New Roman"/>
      <w:color w:val="28282F"/>
    </w:rPr>
  </w:style>
  <w:style w:type="paragraph" w:customStyle="1" w:styleId="Vnbnnidung30">
    <w:name w:val="Văn bản nội dung (3)"/>
    <w:basedOn w:val="Normal"/>
    <w:link w:val="Vnbnnidung3"/>
    <w:pPr>
      <w:jc w:val="center"/>
    </w:pPr>
    <w:rPr>
      <w:rFonts w:ascii="Times New Roman" w:eastAsia="Times New Roman" w:hAnsi="Times New Roman" w:cs="Times New Roman"/>
      <w:b/>
      <w:bCs/>
      <w:color w:val="28282F"/>
      <w:sz w:val="19"/>
      <w:szCs w:val="19"/>
    </w:rPr>
  </w:style>
  <w:style w:type="paragraph" w:customStyle="1" w:styleId="Vnbnnidung50">
    <w:name w:val="Văn bản nội dung (5)"/>
    <w:basedOn w:val="Normal"/>
    <w:link w:val="Vnbnnidung5"/>
    <w:rPr>
      <w:rFonts w:ascii="Arial" w:eastAsia="Arial" w:hAnsi="Arial" w:cs="Arial"/>
      <w:color w:val="E7506B"/>
      <w:sz w:val="14"/>
      <w:szCs w:val="14"/>
    </w:rPr>
  </w:style>
  <w:style w:type="paragraph" w:customStyle="1" w:styleId="Tiu10">
    <w:name w:val="Tiêu đề #1"/>
    <w:basedOn w:val="Normal"/>
    <w:link w:val="Tiu1"/>
    <w:pPr>
      <w:jc w:val="center"/>
      <w:outlineLvl w:val="0"/>
    </w:pPr>
    <w:rPr>
      <w:rFonts w:ascii="Times New Roman" w:eastAsia="Times New Roman" w:hAnsi="Times New Roman" w:cs="Times New Roman"/>
      <w:b/>
      <w:bCs/>
      <w:color w:val="28282F"/>
      <w:sz w:val="40"/>
      <w:szCs w:val="40"/>
    </w:rPr>
  </w:style>
  <w:style w:type="paragraph" w:customStyle="1" w:styleId="Tiu20">
    <w:name w:val="Tiêu đề #2"/>
    <w:basedOn w:val="Normal"/>
    <w:link w:val="Tiu2"/>
    <w:pPr>
      <w:jc w:val="center"/>
      <w:outlineLvl w:val="1"/>
    </w:pPr>
    <w:rPr>
      <w:rFonts w:ascii="Times New Roman" w:eastAsia="Times New Roman" w:hAnsi="Times New Roman" w:cs="Times New Roman"/>
      <w:b/>
      <w:bCs/>
      <w:color w:val="28282F"/>
      <w:sz w:val="28"/>
      <w:szCs w:val="28"/>
    </w:rPr>
  </w:style>
  <w:style w:type="paragraph" w:customStyle="1" w:styleId="Tiu30">
    <w:name w:val="Tiêu đề #3"/>
    <w:basedOn w:val="Normal"/>
    <w:link w:val="Tiu3"/>
    <w:pPr>
      <w:ind w:left="420"/>
      <w:outlineLvl w:val="2"/>
    </w:pPr>
    <w:rPr>
      <w:rFonts w:ascii="Times New Roman" w:eastAsia="Times New Roman" w:hAnsi="Times New Roman" w:cs="Times New Roman"/>
      <w:b/>
      <w:bCs/>
    </w:rPr>
  </w:style>
  <w:style w:type="paragraph" w:customStyle="1" w:styleId="Khc0">
    <w:name w:val="Khác"/>
    <w:basedOn w:val="Normal"/>
    <w:link w:val="Khc"/>
    <w:rPr>
      <w:rFonts w:ascii="Times New Roman" w:eastAsia="Times New Roman" w:hAnsi="Times New Roman" w:cs="Times New Roman"/>
      <w:color w:val="28282F"/>
    </w:rPr>
  </w:style>
  <w:style w:type="paragraph" w:customStyle="1" w:styleId="Chthchbng0">
    <w:name w:val="Chú thích bảng"/>
    <w:basedOn w:val="Normal"/>
    <w:link w:val="Chthchbng"/>
    <w:rPr>
      <w:rFonts w:ascii="Times New Roman" w:eastAsia="Times New Roman" w:hAnsi="Times New Roman" w:cs="Times New Roman"/>
      <w:b/>
      <w:bCs/>
    </w:rPr>
  </w:style>
  <w:style w:type="table" w:styleId="TableGrid">
    <w:name w:val="Table Grid"/>
    <w:basedOn w:val="TableNormal"/>
    <w:uiPriority w:val="39"/>
    <w:rsid w:val="00DF1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5NqV0Ytc29p4Ga/ENom+oHymA==">CgMxLjAyCGguZ2pkZ3hzOAByITFTdGh6MzYwZF95Q0V2eVNpZy1wLWlnQl9qekZKN3B4cg==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768</Words>
  <Characters>4380</Characters>
  <Application>Microsoft Office Word</Application>
  <DocSecurity>0</DocSecurity>
  <Lines>36</Lines>
  <Paragraphs>10</Paragraphs>
  <ScaleCrop>false</ScaleCrop>
  <Company/>
  <LinksUpToDate>false</LinksUpToDate>
  <CharactersWithSpaces>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Ha Anh</cp:lastModifiedBy>
  <cp:revision>13</cp:revision>
  <dcterms:created xsi:type="dcterms:W3CDTF">2024-05-08T03:32:00Z</dcterms:created>
  <dcterms:modified xsi:type="dcterms:W3CDTF">2024-05-09T07:26:00Z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cdfc72586c2aa216ffddecf4fe88b2b49f10183a0a0f702e73439028428bfd61</vt:lpwstr>
  </property>
</Properties>
</file>