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07C5" w14:textId="785F1F4A" w:rsidR="00EA0BBF" w:rsidRPr="00560C59" w:rsidRDefault="00BC20AD" w:rsidP="008F05C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2"/>
          <w:tab w:val="left" w:pos="1040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60C59">
        <w:rPr>
          <w:rFonts w:ascii="Arial" w:hAnsi="Arial" w:cs="Arial"/>
          <w:b/>
          <w:bCs/>
          <w:color w:val="010000"/>
          <w:sz w:val="20"/>
        </w:rPr>
        <w:t>BVB123025:</w:t>
      </w:r>
      <w:r w:rsidRPr="00560C59">
        <w:rPr>
          <w:rFonts w:ascii="Arial" w:hAnsi="Arial" w:cs="Arial"/>
          <w:b/>
          <w:color w:val="010000"/>
          <w:sz w:val="20"/>
        </w:rPr>
        <w:t xml:space="preserve"> Report on the progress of </w:t>
      </w:r>
      <w:r w:rsidR="00976FB0" w:rsidRPr="00560C59">
        <w:rPr>
          <w:rFonts w:ascii="Arial" w:hAnsi="Arial" w:cs="Arial"/>
          <w:b/>
          <w:color w:val="010000"/>
          <w:sz w:val="20"/>
        </w:rPr>
        <w:t xml:space="preserve">using </w:t>
      </w:r>
      <w:r w:rsidRPr="00560C59">
        <w:rPr>
          <w:rFonts w:ascii="Arial" w:hAnsi="Arial" w:cs="Arial"/>
          <w:b/>
          <w:color w:val="010000"/>
          <w:sz w:val="20"/>
        </w:rPr>
        <w:t>capital/proceeds from the offering/issuance</w:t>
      </w:r>
    </w:p>
    <w:p w14:paraId="53D1CC6F" w14:textId="3A19E7AA" w:rsidR="00EA0BBF" w:rsidRPr="00560C59" w:rsidRDefault="00BC20AD" w:rsidP="008F05C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2"/>
          <w:tab w:val="left" w:pos="10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On May 23,</w:t>
      </w:r>
      <w:r w:rsidR="00A306EB" w:rsidRPr="00560C59">
        <w:rPr>
          <w:rFonts w:ascii="Arial" w:hAnsi="Arial" w:cs="Arial"/>
          <w:color w:val="010000"/>
          <w:sz w:val="20"/>
        </w:rPr>
        <w:t xml:space="preserve"> 2024, </w:t>
      </w:r>
      <w:r w:rsidRPr="00560C59">
        <w:rPr>
          <w:rFonts w:ascii="Arial" w:hAnsi="Arial" w:cs="Arial"/>
          <w:color w:val="010000"/>
          <w:sz w:val="20"/>
        </w:rPr>
        <w:t xml:space="preserve">Viet Capital Bank </w:t>
      </w:r>
      <w:proofErr w:type="gramStart"/>
      <w:r w:rsidRPr="00560C59">
        <w:rPr>
          <w:rFonts w:ascii="Arial" w:hAnsi="Arial" w:cs="Arial"/>
          <w:color w:val="010000"/>
          <w:sz w:val="20"/>
        </w:rPr>
        <w:t>announced</w:t>
      </w:r>
      <w:proofErr w:type="gramEnd"/>
      <w:r w:rsidRPr="00560C59">
        <w:rPr>
          <w:rFonts w:ascii="Arial" w:hAnsi="Arial" w:cs="Arial"/>
          <w:color w:val="010000"/>
          <w:sz w:val="20"/>
        </w:rPr>
        <w:t xml:space="preserve"> Report No. 1614/24/</w:t>
      </w:r>
      <w:proofErr w:type="spellStart"/>
      <w:r w:rsidRPr="00560C59">
        <w:rPr>
          <w:rFonts w:ascii="Arial" w:hAnsi="Arial" w:cs="Arial"/>
          <w:color w:val="010000"/>
          <w:sz w:val="20"/>
        </w:rPr>
        <w:t>BVBank</w:t>
      </w:r>
      <w:proofErr w:type="spellEnd"/>
      <w:r w:rsidRPr="00560C59">
        <w:rPr>
          <w:rFonts w:ascii="Arial" w:hAnsi="Arial" w:cs="Arial"/>
          <w:color w:val="010000"/>
          <w:sz w:val="20"/>
        </w:rPr>
        <w:t>/BC-TGD</w:t>
      </w:r>
      <w:r w:rsidR="00560C59" w:rsidRPr="00560C59">
        <w:rPr>
          <w:rFonts w:ascii="Arial" w:hAnsi="Arial" w:cs="Arial"/>
          <w:color w:val="010000"/>
          <w:sz w:val="20"/>
        </w:rPr>
        <w:t xml:space="preserve"> on the progress of using capital/proceeds from the offering/issuance</w:t>
      </w:r>
      <w:r w:rsidRPr="00560C59">
        <w:rPr>
          <w:rFonts w:ascii="Arial" w:hAnsi="Arial" w:cs="Arial"/>
          <w:color w:val="010000"/>
          <w:sz w:val="20"/>
        </w:rPr>
        <w:t xml:space="preserve"> as follows: </w:t>
      </w:r>
    </w:p>
    <w:p w14:paraId="329C9D2F" w14:textId="77777777" w:rsidR="00EA0BBF" w:rsidRPr="00560C59" w:rsidRDefault="00BC20AD" w:rsidP="008F05C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Issued securities</w:t>
      </w:r>
      <w:bookmarkStart w:id="0" w:name="_GoBack"/>
      <w:bookmarkEnd w:id="0"/>
    </w:p>
    <w:p w14:paraId="3D46EC44" w14:textId="77777777" w:rsidR="00EA0BBF" w:rsidRPr="00560C59" w:rsidRDefault="00BC20AD" w:rsidP="008F0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Securities name: Share of Viet Capital Bank</w:t>
      </w:r>
    </w:p>
    <w:p w14:paraId="64E2BE86" w14:textId="77777777" w:rsidR="00EA0BBF" w:rsidRPr="00560C59" w:rsidRDefault="00BC20AD" w:rsidP="008F0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Securities type: Common share</w:t>
      </w:r>
    </w:p>
    <w:p w14:paraId="69B40201" w14:textId="77777777" w:rsidR="00EA0BBF" w:rsidRPr="00560C59" w:rsidRDefault="00BC20AD" w:rsidP="008F0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Par value: VND 10,000/share</w:t>
      </w:r>
    </w:p>
    <w:p w14:paraId="39BDCCB6" w14:textId="77777777" w:rsidR="00EA0BBF" w:rsidRPr="00560C59" w:rsidRDefault="00BC20AD" w:rsidP="008F0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Number of issued securities (offering to existing shareholders)</w:t>
      </w:r>
      <w:r w:rsidR="00A306EB" w:rsidRPr="00560C59">
        <w:rPr>
          <w:rFonts w:ascii="Arial" w:hAnsi="Arial" w:cs="Arial"/>
          <w:color w:val="010000"/>
          <w:sz w:val="20"/>
        </w:rPr>
        <w:t xml:space="preserve">: </w:t>
      </w:r>
      <w:r w:rsidRPr="00560C59">
        <w:rPr>
          <w:rFonts w:ascii="Arial" w:hAnsi="Arial" w:cs="Arial"/>
          <w:color w:val="010000"/>
          <w:sz w:val="20"/>
        </w:rPr>
        <w:t>79,527,136 shares.</w:t>
      </w:r>
    </w:p>
    <w:p w14:paraId="41632E9F" w14:textId="77777777" w:rsidR="00EA0BBF" w:rsidRPr="00560C59" w:rsidRDefault="00BC20AD" w:rsidP="008F0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Total capital/mobilized amount: VND 795,271,360,000, in which the capital/amount mobilized for the project items below</w:t>
      </w:r>
      <w:r w:rsidR="00A306EB" w:rsidRPr="00560C59">
        <w:rPr>
          <w:rFonts w:ascii="Arial" w:hAnsi="Arial" w:cs="Arial"/>
          <w:color w:val="010000"/>
          <w:sz w:val="20"/>
        </w:rPr>
        <w:t>:</w:t>
      </w:r>
      <w:r w:rsidRPr="00560C59">
        <w:rPr>
          <w:rFonts w:ascii="Arial" w:hAnsi="Arial" w:cs="Arial"/>
          <w:color w:val="010000"/>
          <w:sz w:val="20"/>
        </w:rPr>
        <w:t xml:space="preserve"> VND 795,271,360,000.</w:t>
      </w:r>
    </w:p>
    <w:p w14:paraId="15004EB3" w14:textId="77777777" w:rsidR="00EA0BBF" w:rsidRPr="00560C59" w:rsidRDefault="00BC20AD" w:rsidP="008F0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Completion date of the offering/issuance: May 19, 2023</w:t>
      </w:r>
    </w:p>
    <w:p w14:paraId="47D7E0B3" w14:textId="77777777" w:rsidR="00EA0BBF" w:rsidRPr="00560C59" w:rsidRDefault="00BC20AD" w:rsidP="008F05C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Plan to use the capital/proceeds from the offering/issuance</w:t>
      </w:r>
    </w:p>
    <w:p w14:paraId="3FD40B4B" w14:textId="77777777" w:rsidR="00EA0BBF" w:rsidRPr="00560C59" w:rsidRDefault="00BC20AD" w:rsidP="008F05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1 Progress of the project according to the announced plan: Plan to use the capital obtained from the public offering to existing shareholders as follows:</w:t>
      </w:r>
    </w:p>
    <w:p w14:paraId="44C21509" w14:textId="77777777" w:rsidR="00EA0BBF" w:rsidRPr="00560C59" w:rsidRDefault="00BC20AD" w:rsidP="008F05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1"/>
        <w:gridCol w:w="4115"/>
        <w:gridCol w:w="2054"/>
        <w:gridCol w:w="2157"/>
      </w:tblGrid>
      <w:tr w:rsidR="00EA0BBF" w:rsidRPr="00560C59" w14:paraId="37916204" w14:textId="77777777" w:rsidTr="00332A02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DDD79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657AD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Capital use purpose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E7731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Amount</w:t>
            </w:r>
          </w:p>
          <w:p w14:paraId="5A9F69A4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(According to the initial plan)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4A66D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 xml:space="preserve">Amount (reallocated according to actual </w:t>
            </w:r>
            <w:r w:rsidR="00A306EB" w:rsidRPr="00560C59">
              <w:rPr>
                <w:rFonts w:ascii="Arial" w:hAnsi="Arial" w:cs="Arial"/>
                <w:color w:val="010000"/>
                <w:sz w:val="20"/>
              </w:rPr>
              <w:t>proceeds</w:t>
            </w:r>
            <w:r w:rsidRPr="00560C59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EA0BBF" w:rsidRPr="00560C59" w14:paraId="571D6DAD" w14:textId="77777777" w:rsidTr="00332A02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9F2B1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055D3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Supplement loan capital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98494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99,365,000,000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FDE3B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99,365,000,000</w:t>
            </w:r>
          </w:p>
        </w:tc>
      </w:tr>
      <w:tr w:rsidR="00EA0BBF" w:rsidRPr="00560C59" w14:paraId="30246B7D" w14:textId="77777777" w:rsidTr="00332A02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57A83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9C650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Short-term loan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9B2EB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99,365,000,000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1C2A0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99,365,000,000</w:t>
            </w:r>
          </w:p>
        </w:tc>
      </w:tr>
      <w:tr w:rsidR="00EA0BBF" w:rsidRPr="00560C59" w14:paraId="3CA666FB" w14:textId="77777777" w:rsidTr="00332A02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C5B74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D17BB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Capital trading, investment and other business activities of Viet Capital Bank.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42952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818,360,000,000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1DC1F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695,906,360,000</w:t>
            </w:r>
          </w:p>
        </w:tc>
      </w:tr>
      <w:tr w:rsidR="00EA0BBF" w:rsidRPr="00560C59" w14:paraId="11C7D439" w14:textId="77777777" w:rsidTr="00332A02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97D3B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6164E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Investment and trading in Government bonds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267F4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AEFA2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</w:tr>
      <w:tr w:rsidR="00EA0BBF" w:rsidRPr="00560C59" w14:paraId="75F6C729" w14:textId="77777777" w:rsidTr="00332A02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5554A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5D5C5" w14:textId="59BCACB7" w:rsidR="00EA0BBF" w:rsidRPr="00560C59" w:rsidRDefault="00560C59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Loan for the interbank market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6B0E6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418,360,000,000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D223A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295,906,360,000</w:t>
            </w:r>
          </w:p>
        </w:tc>
      </w:tr>
      <w:tr w:rsidR="00EA0BBF" w:rsidRPr="00560C59" w14:paraId="55775C52" w14:textId="77777777" w:rsidTr="00332A02">
        <w:tc>
          <w:tcPr>
            <w:tcW w:w="26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363A9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3164D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917,725,000,000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B3B87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795,271,360,000</w:t>
            </w:r>
          </w:p>
        </w:tc>
      </w:tr>
    </w:tbl>
    <w:p w14:paraId="5F1D8B0F" w14:textId="194DD3A2" w:rsidR="00EA0BBF" w:rsidRPr="00560C59" w:rsidRDefault="00BC20AD" w:rsidP="008F05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If the actual proceeds from the issuance do not reach the proposed plan</w:t>
      </w:r>
      <w:r w:rsidR="00A306EB" w:rsidRPr="00560C59">
        <w:rPr>
          <w:rFonts w:ascii="Arial" w:hAnsi="Arial" w:cs="Arial"/>
          <w:color w:val="010000"/>
          <w:sz w:val="20"/>
        </w:rPr>
        <w:t xml:space="preserve">, </w:t>
      </w:r>
      <w:r w:rsidR="00560C59" w:rsidRPr="00560C59">
        <w:rPr>
          <w:rFonts w:ascii="Arial" w:hAnsi="Arial" w:cs="Arial"/>
          <w:color w:val="010000"/>
          <w:sz w:val="20"/>
        </w:rPr>
        <w:t xml:space="preserve">the </w:t>
      </w:r>
      <w:r w:rsidR="00A306EB" w:rsidRPr="00560C59">
        <w:rPr>
          <w:rFonts w:ascii="Arial" w:hAnsi="Arial" w:cs="Arial"/>
          <w:color w:val="010000"/>
          <w:sz w:val="20"/>
        </w:rPr>
        <w:t>priority to allocate and use the proceeds will be according to the order of priority in the table of capital use plan</w:t>
      </w:r>
      <w:r w:rsidRPr="00560C59">
        <w:rPr>
          <w:rFonts w:ascii="Arial" w:hAnsi="Arial" w:cs="Arial"/>
          <w:color w:val="010000"/>
          <w:sz w:val="20"/>
        </w:rPr>
        <w:t>.</w:t>
      </w:r>
    </w:p>
    <w:p w14:paraId="0B6C9884" w14:textId="77777777" w:rsidR="00EA0BBF" w:rsidRPr="00560C59" w:rsidRDefault="00BC20AD" w:rsidP="008F0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0C59">
        <w:rPr>
          <w:rFonts w:ascii="Arial" w:hAnsi="Arial" w:cs="Arial"/>
          <w:color w:val="010000"/>
          <w:sz w:val="20"/>
        </w:rPr>
        <w:t>Progress of implementation of items until May 17, 2024 according to actual proceeds from the offering/issuance: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"/>
        <w:gridCol w:w="6124"/>
        <w:gridCol w:w="2231"/>
      </w:tblGrid>
      <w:tr w:rsidR="00EA0BBF" w:rsidRPr="00560C59" w14:paraId="5764EF38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3C02A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FFEA5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Capital use purpose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8F5A7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EA0BBF" w:rsidRPr="00560C59" w14:paraId="753E4CC2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A1261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007AE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Total proceeds from the offering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35C08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795,271,360,000</w:t>
            </w:r>
          </w:p>
        </w:tc>
      </w:tr>
      <w:tr w:rsidR="00EA0BBF" w:rsidRPr="00560C59" w14:paraId="15C52FDF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3B4F8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29017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Used amount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EC840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699,365,000,000</w:t>
            </w:r>
          </w:p>
        </w:tc>
      </w:tr>
      <w:tr w:rsidR="00EA0BBF" w:rsidRPr="00560C59" w14:paraId="68B5CBA6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A31B6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1F9B3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Supplement loan capital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4EEB0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99,365,000,000</w:t>
            </w:r>
          </w:p>
        </w:tc>
      </w:tr>
      <w:tr w:rsidR="00EA0BBF" w:rsidRPr="00560C59" w14:paraId="5FC726B5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286EF" w14:textId="77777777" w:rsidR="00EA0BBF" w:rsidRPr="00560C59" w:rsidRDefault="00EA0BBF" w:rsidP="008F05C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F3A50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In which: Short-term loan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D17CF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99,365,000,000</w:t>
            </w:r>
          </w:p>
        </w:tc>
      </w:tr>
      <w:tr w:rsidR="00EA0BBF" w:rsidRPr="00560C59" w14:paraId="027E899C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4C4AB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9C8EE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Capital business, investment and other business activities of Viet Capital Bank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E598E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600,000,000,000</w:t>
            </w:r>
          </w:p>
        </w:tc>
      </w:tr>
      <w:tr w:rsidR="00EA0BBF" w:rsidRPr="00560C59" w14:paraId="6BA2AF85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1E429" w14:textId="77777777" w:rsidR="00EA0BBF" w:rsidRPr="00560C59" w:rsidRDefault="00EA0BBF" w:rsidP="008F05C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AE577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In which: Government bond business investment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1FEA4" w14:textId="77777777" w:rsidR="00EA0BBF" w:rsidRPr="00560C59" w:rsidRDefault="00BC20AD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</w:tr>
      <w:tr w:rsidR="00560C59" w:rsidRPr="00560C59" w14:paraId="2519EAA6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46844" w14:textId="77777777" w:rsidR="00560C59" w:rsidRPr="00560C59" w:rsidRDefault="00560C59" w:rsidP="008F05C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0E8BA" w14:textId="779BB640" w:rsidR="00560C59" w:rsidRPr="00560C59" w:rsidRDefault="00560C59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Loan for the interbank market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CC9E3" w14:textId="77777777" w:rsidR="00560C59" w:rsidRPr="00560C59" w:rsidRDefault="00560C59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</w:tr>
      <w:tr w:rsidR="00560C59" w:rsidRPr="00560C59" w14:paraId="3F409569" w14:textId="77777777" w:rsidTr="00332A02"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BAC55" w14:textId="77777777" w:rsidR="00560C59" w:rsidRPr="00560C59" w:rsidRDefault="00560C59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F2466" w14:textId="77777777" w:rsidR="00560C59" w:rsidRPr="00560C59" w:rsidRDefault="00560C59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Remaining unused amount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45013" w14:textId="77777777" w:rsidR="00560C59" w:rsidRPr="00560C59" w:rsidRDefault="00560C59" w:rsidP="008F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0C59">
              <w:rPr>
                <w:rFonts w:ascii="Arial" w:hAnsi="Arial" w:cs="Arial"/>
                <w:color w:val="010000"/>
                <w:sz w:val="20"/>
              </w:rPr>
              <w:t>95,906,360,000</w:t>
            </w:r>
          </w:p>
        </w:tc>
      </w:tr>
    </w:tbl>
    <w:p w14:paraId="2BB0B2F0" w14:textId="77777777" w:rsidR="00EA0BBF" w:rsidRPr="00560C59" w:rsidRDefault="00EA0BBF" w:rsidP="008F05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EA0BBF" w:rsidRPr="00560C59" w:rsidSect="00332A0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820"/>
    <w:multiLevelType w:val="multilevel"/>
    <w:tmpl w:val="25B012B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156C5B"/>
    <w:multiLevelType w:val="multilevel"/>
    <w:tmpl w:val="746AA3E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2C3293C"/>
    <w:multiLevelType w:val="multilevel"/>
    <w:tmpl w:val="2236BE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BF"/>
    <w:rsid w:val="00332A02"/>
    <w:rsid w:val="005116A0"/>
    <w:rsid w:val="00560C59"/>
    <w:rsid w:val="008F05C8"/>
    <w:rsid w:val="00976FB0"/>
    <w:rsid w:val="00A306EB"/>
    <w:rsid w:val="00BC20AD"/>
    <w:rsid w:val="00DF3249"/>
    <w:rsid w:val="00E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5EEA3"/>
  <w15:docId w15:val="{B60EA940-0D7D-4A3E-A8C6-A51277A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ind w:left="540" w:firstLine="180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20">
    <w:name w:val="Tiêu đề #2"/>
    <w:basedOn w:val="Normal"/>
    <w:link w:val="Tiu2"/>
    <w:pPr>
      <w:spacing w:line="254" w:lineRule="auto"/>
      <w:ind w:left="185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30">
    <w:name w:val="Tiêu đề #3"/>
    <w:basedOn w:val="Normal"/>
    <w:link w:val="Tiu3"/>
    <w:pPr>
      <w:ind w:left="19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Vnbnnidung30">
    <w:name w:val="Văn bản nội dung (3)"/>
    <w:basedOn w:val="Normal"/>
    <w:link w:val="Vnbnnidung3"/>
    <w:pPr>
      <w:spacing w:line="252" w:lineRule="auto"/>
      <w:ind w:left="2360" w:firstLine="1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hc0">
    <w:name w:val="Khác"/>
    <w:basedOn w:val="Normal"/>
    <w:link w:val="Khc"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e4/Z1jCPV5muWLRAUcq0cq8HqQ==">CgMxLjA4AHIhMTQ3OUdZNlJMd0JKVGpJUnFuZ19aUlRlMW5OblE2dWp0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2024-05-27T02:55:00Z</dcterms:created>
  <dcterms:modified xsi:type="dcterms:W3CDTF">2024-05-28T09:06:00Z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23e16b0d216832e1e6933c547fda0b27b27ce450b8eafb2d12b170e5d7b8bd75</vt:lpwstr>
  </property>
</Properties>
</file>