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BD0D8" w14:textId="77777777" w:rsidR="00B65A00" w:rsidRPr="00F8318B" w:rsidRDefault="00FC69C5" w:rsidP="004C2DC3">
      <w:pPr>
        <w:pBdr>
          <w:top w:val="nil"/>
          <w:left w:val="nil"/>
          <w:bottom w:val="nil"/>
          <w:right w:val="nil"/>
          <w:between w:val="nil"/>
        </w:pBdr>
        <w:tabs>
          <w:tab w:val="left" w:pos="432"/>
          <w:tab w:val="left" w:pos="4227"/>
        </w:tabs>
        <w:spacing w:after="120" w:line="360" w:lineRule="auto"/>
        <w:jc w:val="both"/>
        <w:rPr>
          <w:rFonts w:ascii="Arial" w:eastAsia="Arial" w:hAnsi="Arial" w:cs="Arial"/>
          <w:b/>
          <w:color w:val="010000"/>
          <w:sz w:val="20"/>
          <w:szCs w:val="20"/>
        </w:rPr>
      </w:pPr>
      <w:r w:rsidRPr="00F8318B">
        <w:rPr>
          <w:rFonts w:ascii="Arial" w:hAnsi="Arial" w:cs="Arial"/>
          <w:b/>
          <w:color w:val="010000"/>
          <w:sz w:val="20"/>
        </w:rPr>
        <w:t>DNP: Board Resolution</w:t>
      </w:r>
    </w:p>
    <w:p w14:paraId="2817CFBA" w14:textId="77777777" w:rsidR="00B65A00" w:rsidRPr="00F8318B" w:rsidRDefault="00FC69C5" w:rsidP="004C2DC3">
      <w:pPr>
        <w:pBdr>
          <w:top w:val="nil"/>
          <w:left w:val="nil"/>
          <w:bottom w:val="nil"/>
          <w:right w:val="nil"/>
          <w:between w:val="nil"/>
        </w:pBdr>
        <w:tabs>
          <w:tab w:val="left" w:pos="432"/>
          <w:tab w:val="left" w:pos="4227"/>
        </w:tabs>
        <w:spacing w:after="120" w:line="360" w:lineRule="auto"/>
        <w:jc w:val="both"/>
        <w:rPr>
          <w:rFonts w:ascii="Arial" w:eastAsia="Arial" w:hAnsi="Arial" w:cs="Arial"/>
          <w:color w:val="010000"/>
          <w:sz w:val="20"/>
          <w:szCs w:val="20"/>
        </w:rPr>
      </w:pPr>
      <w:r w:rsidRPr="00F8318B">
        <w:rPr>
          <w:rFonts w:ascii="Arial" w:hAnsi="Arial" w:cs="Arial"/>
          <w:color w:val="010000"/>
          <w:sz w:val="20"/>
        </w:rPr>
        <w:t xml:space="preserve">On May 24, 2024, DNP Holding JSC announced Resolution No. 04/2024/NQ-HDQT on approving the policy of conducting transactions </w:t>
      </w:r>
      <w:bookmarkStart w:id="0" w:name="_GoBack"/>
      <w:bookmarkEnd w:id="0"/>
      <w:r w:rsidRPr="00F8318B">
        <w:rPr>
          <w:rFonts w:ascii="Arial" w:hAnsi="Arial" w:cs="Arial"/>
          <w:color w:val="010000"/>
          <w:sz w:val="20"/>
        </w:rPr>
        <w:t>with affiliated persons 2024 as follows:</w:t>
      </w:r>
    </w:p>
    <w:p w14:paraId="3488E3B8" w14:textId="77777777" w:rsidR="00B65A00" w:rsidRPr="00F8318B" w:rsidRDefault="00FC69C5" w:rsidP="004C2DC3">
      <w:pPr>
        <w:pBdr>
          <w:top w:val="nil"/>
          <w:left w:val="nil"/>
          <w:bottom w:val="nil"/>
          <w:right w:val="nil"/>
          <w:between w:val="nil"/>
        </w:pBdr>
        <w:tabs>
          <w:tab w:val="left" w:pos="432"/>
          <w:tab w:val="left" w:pos="4227"/>
        </w:tabs>
        <w:spacing w:after="120" w:line="360" w:lineRule="auto"/>
        <w:jc w:val="both"/>
        <w:rPr>
          <w:rFonts w:ascii="Arial" w:eastAsia="Arial" w:hAnsi="Arial" w:cs="Arial"/>
          <w:color w:val="010000"/>
          <w:sz w:val="20"/>
          <w:szCs w:val="20"/>
        </w:rPr>
      </w:pPr>
      <w:r w:rsidRPr="00F8318B">
        <w:rPr>
          <w:rFonts w:ascii="Arial" w:hAnsi="Arial" w:cs="Arial"/>
          <w:color w:val="010000"/>
          <w:sz w:val="20"/>
        </w:rPr>
        <w:t>‎‎Article 1. Approve the policy of implementing Contracts/Transactions between the Company and affiliated persons</w:t>
      </w:r>
      <w:r w:rsidR="0072217E" w:rsidRPr="00F8318B">
        <w:rPr>
          <w:rFonts w:ascii="Arial" w:hAnsi="Arial" w:cs="Arial"/>
          <w:color w:val="010000"/>
          <w:sz w:val="20"/>
        </w:rPr>
        <w:t xml:space="preserve"> </w:t>
      </w:r>
      <w:r w:rsidRPr="00F8318B">
        <w:rPr>
          <w:rFonts w:ascii="Arial" w:hAnsi="Arial" w:cs="Arial"/>
          <w:color w:val="010000"/>
          <w:sz w:val="20"/>
        </w:rPr>
        <w:t>as follows:</w:t>
      </w:r>
    </w:p>
    <w:p w14:paraId="0294D8D2" w14:textId="77777777" w:rsidR="00B65A00" w:rsidRPr="00F8318B" w:rsidRDefault="00FC69C5" w:rsidP="004C2D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318B">
        <w:rPr>
          <w:rFonts w:ascii="Arial" w:hAnsi="Arial" w:cs="Arial"/>
          <w:color w:val="010000"/>
          <w:sz w:val="20"/>
        </w:rPr>
        <w:t>Approve the Company's policy on signing and implementing Contracts/Transactions between the Company and affiliated persons of the Company, between the Company and major shareholders, PDMR</w:t>
      </w:r>
      <w:r w:rsidR="002A4FFA" w:rsidRPr="00F8318B">
        <w:rPr>
          <w:rFonts w:ascii="Arial" w:hAnsi="Arial" w:cs="Arial"/>
          <w:color w:val="010000"/>
          <w:sz w:val="20"/>
        </w:rPr>
        <w:t>,</w:t>
      </w:r>
      <w:r w:rsidRPr="00F8318B">
        <w:rPr>
          <w:rFonts w:ascii="Arial" w:hAnsi="Arial" w:cs="Arial"/>
          <w:color w:val="010000"/>
          <w:sz w:val="20"/>
        </w:rPr>
        <w:t xml:space="preserve"> and affiliated persons of PDMR as prescribed in the Charter, Law on Securities, Law on Enterprise.</w:t>
      </w:r>
      <w:r w:rsidR="0072217E" w:rsidRPr="00F8318B">
        <w:rPr>
          <w:rFonts w:ascii="Arial" w:hAnsi="Arial" w:cs="Arial"/>
          <w:color w:val="010000"/>
          <w:sz w:val="20"/>
        </w:rPr>
        <w:t xml:space="preserve"> </w:t>
      </w:r>
      <w:r w:rsidRPr="00F8318B">
        <w:rPr>
          <w:rFonts w:ascii="Arial" w:hAnsi="Arial" w:cs="Arial"/>
          <w:color w:val="010000"/>
          <w:sz w:val="20"/>
        </w:rPr>
        <w:t>These transactions are expected to arise in 2024 within the following limit frame:</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1"/>
        <w:gridCol w:w="4323"/>
        <w:gridCol w:w="4013"/>
      </w:tblGrid>
      <w:tr w:rsidR="00B65A00" w:rsidRPr="00F8318B" w14:paraId="1B36155D" w14:textId="77777777" w:rsidTr="00F46905">
        <w:tc>
          <w:tcPr>
            <w:tcW w:w="378" w:type="pct"/>
            <w:shd w:val="clear" w:color="auto" w:fill="auto"/>
            <w:tcMar>
              <w:top w:w="0" w:type="dxa"/>
              <w:bottom w:w="0" w:type="dxa"/>
            </w:tcMar>
            <w:vAlign w:val="center"/>
          </w:tcPr>
          <w:p w14:paraId="234EB500" w14:textId="77777777" w:rsidR="00B65A00" w:rsidRPr="00F8318B" w:rsidRDefault="00FC69C5" w:rsidP="004C2D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318B">
              <w:rPr>
                <w:rFonts w:ascii="Arial" w:hAnsi="Arial" w:cs="Arial"/>
                <w:color w:val="010000"/>
                <w:sz w:val="20"/>
              </w:rPr>
              <w:t>No.</w:t>
            </w:r>
          </w:p>
        </w:tc>
        <w:tc>
          <w:tcPr>
            <w:tcW w:w="2397" w:type="pct"/>
            <w:shd w:val="clear" w:color="auto" w:fill="auto"/>
            <w:tcMar>
              <w:top w:w="0" w:type="dxa"/>
              <w:bottom w:w="0" w:type="dxa"/>
            </w:tcMar>
            <w:vAlign w:val="center"/>
          </w:tcPr>
          <w:p w14:paraId="1D828A23" w14:textId="77777777" w:rsidR="00B65A00" w:rsidRPr="00F8318B" w:rsidRDefault="00FC69C5" w:rsidP="004C2D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318B">
              <w:rPr>
                <w:rFonts w:ascii="Arial" w:hAnsi="Arial" w:cs="Arial"/>
                <w:color w:val="010000"/>
                <w:sz w:val="20"/>
              </w:rPr>
              <w:t>Transaction types</w:t>
            </w:r>
          </w:p>
        </w:tc>
        <w:tc>
          <w:tcPr>
            <w:tcW w:w="2225" w:type="pct"/>
            <w:shd w:val="clear" w:color="auto" w:fill="auto"/>
            <w:tcMar>
              <w:top w:w="0" w:type="dxa"/>
              <w:bottom w:w="0" w:type="dxa"/>
            </w:tcMar>
            <w:vAlign w:val="center"/>
          </w:tcPr>
          <w:p w14:paraId="33FA0F9F" w14:textId="77777777" w:rsidR="00B65A00" w:rsidRPr="00F8318B" w:rsidRDefault="00FC69C5" w:rsidP="004C2D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318B">
              <w:rPr>
                <w:rFonts w:ascii="Arial" w:hAnsi="Arial" w:cs="Arial"/>
                <w:color w:val="010000"/>
                <w:sz w:val="20"/>
              </w:rPr>
              <w:t>Limit frame</w:t>
            </w:r>
          </w:p>
        </w:tc>
      </w:tr>
      <w:tr w:rsidR="00B65A00" w:rsidRPr="00F8318B" w14:paraId="0CA4B114" w14:textId="77777777" w:rsidTr="00F46905">
        <w:tc>
          <w:tcPr>
            <w:tcW w:w="378" w:type="pct"/>
            <w:shd w:val="clear" w:color="auto" w:fill="auto"/>
            <w:tcMar>
              <w:top w:w="0" w:type="dxa"/>
              <w:bottom w:w="0" w:type="dxa"/>
            </w:tcMar>
            <w:vAlign w:val="center"/>
          </w:tcPr>
          <w:p w14:paraId="04DE5905" w14:textId="77777777" w:rsidR="00B65A00" w:rsidRPr="00F8318B" w:rsidRDefault="00FC69C5" w:rsidP="004C2D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318B">
              <w:rPr>
                <w:rFonts w:ascii="Arial" w:hAnsi="Arial" w:cs="Arial"/>
                <w:color w:val="010000"/>
                <w:sz w:val="20"/>
              </w:rPr>
              <w:t>1</w:t>
            </w:r>
          </w:p>
        </w:tc>
        <w:tc>
          <w:tcPr>
            <w:tcW w:w="2397" w:type="pct"/>
            <w:shd w:val="clear" w:color="auto" w:fill="auto"/>
            <w:tcMar>
              <w:top w:w="0" w:type="dxa"/>
              <w:bottom w:w="0" w:type="dxa"/>
            </w:tcMar>
            <w:vAlign w:val="center"/>
          </w:tcPr>
          <w:p w14:paraId="6109CC30" w14:textId="77777777" w:rsidR="00B65A00" w:rsidRPr="00F8318B" w:rsidRDefault="00FC69C5" w:rsidP="004C2D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318B">
              <w:rPr>
                <w:rFonts w:ascii="Arial" w:hAnsi="Arial" w:cs="Arial"/>
                <w:color w:val="010000"/>
                <w:sz w:val="20"/>
              </w:rPr>
              <w:t>Capital contribution/share purchase, capital transfer/share transfer/project transfer/asset purchase and sale (including Deposit Contracts/Agreements for the above transactions)</w:t>
            </w:r>
          </w:p>
        </w:tc>
        <w:tc>
          <w:tcPr>
            <w:tcW w:w="2225" w:type="pct"/>
            <w:shd w:val="clear" w:color="auto" w:fill="auto"/>
            <w:tcMar>
              <w:top w:w="0" w:type="dxa"/>
              <w:bottom w:w="0" w:type="dxa"/>
            </w:tcMar>
            <w:vAlign w:val="center"/>
          </w:tcPr>
          <w:p w14:paraId="4FEB3031" w14:textId="77777777" w:rsidR="00B65A00" w:rsidRPr="00F8318B" w:rsidRDefault="00FC69C5" w:rsidP="004C2D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318B">
              <w:rPr>
                <w:rFonts w:ascii="Arial" w:hAnsi="Arial" w:cs="Arial"/>
                <w:color w:val="010000"/>
                <w:sz w:val="20"/>
              </w:rPr>
              <w:t>Less than 35% of the total asset value recorded in the</w:t>
            </w:r>
            <w:r w:rsidR="0072217E" w:rsidRPr="00F8318B">
              <w:rPr>
                <w:rFonts w:ascii="Arial" w:hAnsi="Arial" w:cs="Arial"/>
                <w:color w:val="010000"/>
                <w:sz w:val="20"/>
              </w:rPr>
              <w:t xml:space="preserve"> </w:t>
            </w:r>
            <w:r w:rsidRPr="00F8318B">
              <w:rPr>
                <w:rFonts w:ascii="Arial" w:hAnsi="Arial" w:cs="Arial"/>
                <w:color w:val="010000"/>
                <w:sz w:val="20"/>
              </w:rPr>
              <w:t>most recent Audited Consolidated Financial Statements and as prescribed in the Company’s Charter</w:t>
            </w:r>
          </w:p>
        </w:tc>
      </w:tr>
      <w:tr w:rsidR="00B65A00" w:rsidRPr="00F8318B" w14:paraId="6BB28F99" w14:textId="77777777" w:rsidTr="00F46905">
        <w:tc>
          <w:tcPr>
            <w:tcW w:w="378" w:type="pct"/>
            <w:shd w:val="clear" w:color="auto" w:fill="auto"/>
            <w:tcMar>
              <w:top w:w="0" w:type="dxa"/>
              <w:bottom w:w="0" w:type="dxa"/>
            </w:tcMar>
            <w:vAlign w:val="center"/>
          </w:tcPr>
          <w:p w14:paraId="252A079C" w14:textId="77777777" w:rsidR="00B65A00" w:rsidRPr="00F8318B" w:rsidRDefault="00FC69C5" w:rsidP="004C2D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318B">
              <w:rPr>
                <w:rFonts w:ascii="Arial" w:hAnsi="Arial" w:cs="Arial"/>
                <w:color w:val="010000"/>
                <w:sz w:val="20"/>
              </w:rPr>
              <w:t>2</w:t>
            </w:r>
          </w:p>
        </w:tc>
        <w:tc>
          <w:tcPr>
            <w:tcW w:w="2397" w:type="pct"/>
            <w:shd w:val="clear" w:color="auto" w:fill="auto"/>
            <w:tcMar>
              <w:top w:w="0" w:type="dxa"/>
              <w:bottom w:w="0" w:type="dxa"/>
            </w:tcMar>
            <w:vAlign w:val="center"/>
          </w:tcPr>
          <w:p w14:paraId="5872C01D" w14:textId="666B5892" w:rsidR="00B65A00" w:rsidRPr="00F8318B" w:rsidRDefault="00FC69C5" w:rsidP="004C2D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318B">
              <w:rPr>
                <w:rFonts w:ascii="Arial" w:hAnsi="Arial" w:cs="Arial"/>
                <w:color w:val="010000"/>
                <w:sz w:val="20"/>
              </w:rPr>
              <w:t>Business cooperation contracts, joint venture contracts (including Deposit Contracts/Agreements for the above transactions)</w:t>
            </w:r>
          </w:p>
        </w:tc>
        <w:tc>
          <w:tcPr>
            <w:tcW w:w="2225" w:type="pct"/>
            <w:shd w:val="clear" w:color="auto" w:fill="auto"/>
            <w:tcMar>
              <w:top w:w="0" w:type="dxa"/>
              <w:bottom w:w="0" w:type="dxa"/>
            </w:tcMar>
            <w:vAlign w:val="center"/>
          </w:tcPr>
          <w:p w14:paraId="45410D93" w14:textId="77777777" w:rsidR="00B65A00" w:rsidRPr="00F8318B" w:rsidRDefault="00FC69C5" w:rsidP="004C2D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318B">
              <w:rPr>
                <w:rFonts w:ascii="Arial" w:hAnsi="Arial" w:cs="Arial"/>
                <w:color w:val="010000"/>
                <w:sz w:val="20"/>
              </w:rPr>
              <w:t>Less than 35% of the total asset value recorded in the</w:t>
            </w:r>
            <w:r w:rsidR="0072217E" w:rsidRPr="00F8318B">
              <w:rPr>
                <w:rFonts w:ascii="Arial" w:hAnsi="Arial" w:cs="Arial"/>
                <w:color w:val="010000"/>
                <w:sz w:val="20"/>
              </w:rPr>
              <w:t xml:space="preserve"> </w:t>
            </w:r>
            <w:r w:rsidRPr="00F8318B">
              <w:rPr>
                <w:rFonts w:ascii="Arial" w:hAnsi="Arial" w:cs="Arial"/>
                <w:color w:val="010000"/>
                <w:sz w:val="20"/>
              </w:rPr>
              <w:t>most recent Audited Consolidated Financial Statements and as prescribed in the Company’s Charter</w:t>
            </w:r>
          </w:p>
        </w:tc>
      </w:tr>
      <w:tr w:rsidR="00B65A00" w:rsidRPr="00F8318B" w14:paraId="72BBB6EA" w14:textId="77777777" w:rsidTr="00F46905">
        <w:tc>
          <w:tcPr>
            <w:tcW w:w="378" w:type="pct"/>
            <w:shd w:val="clear" w:color="auto" w:fill="auto"/>
            <w:tcMar>
              <w:top w:w="0" w:type="dxa"/>
              <w:bottom w:w="0" w:type="dxa"/>
            </w:tcMar>
            <w:vAlign w:val="center"/>
          </w:tcPr>
          <w:p w14:paraId="3C3BE08F" w14:textId="77777777" w:rsidR="00B65A00" w:rsidRPr="00F8318B" w:rsidRDefault="00FC69C5" w:rsidP="004C2D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318B">
              <w:rPr>
                <w:rFonts w:ascii="Arial" w:hAnsi="Arial" w:cs="Arial"/>
                <w:color w:val="010000"/>
                <w:sz w:val="20"/>
              </w:rPr>
              <w:t>3</w:t>
            </w:r>
          </w:p>
        </w:tc>
        <w:tc>
          <w:tcPr>
            <w:tcW w:w="2397" w:type="pct"/>
            <w:shd w:val="clear" w:color="auto" w:fill="auto"/>
            <w:tcMar>
              <w:top w:w="0" w:type="dxa"/>
              <w:bottom w:w="0" w:type="dxa"/>
            </w:tcMar>
            <w:vAlign w:val="center"/>
          </w:tcPr>
          <w:p w14:paraId="6022B114" w14:textId="77777777" w:rsidR="00B65A00" w:rsidRPr="00F8318B" w:rsidRDefault="00FC69C5" w:rsidP="004C2D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318B">
              <w:rPr>
                <w:rFonts w:ascii="Arial" w:hAnsi="Arial" w:cs="Arial"/>
                <w:color w:val="010000"/>
                <w:sz w:val="20"/>
              </w:rPr>
              <w:t xml:space="preserve">Contracts/Transactions on buying, selling, borrowing, </w:t>
            </w:r>
            <w:r w:rsidR="002A4FFA" w:rsidRPr="00F8318B">
              <w:rPr>
                <w:rFonts w:ascii="Arial" w:hAnsi="Arial" w:cs="Arial"/>
                <w:color w:val="010000"/>
                <w:sz w:val="20"/>
              </w:rPr>
              <w:t xml:space="preserve">and </w:t>
            </w:r>
            <w:r w:rsidRPr="00F8318B">
              <w:rPr>
                <w:rFonts w:ascii="Arial" w:hAnsi="Arial" w:cs="Arial"/>
                <w:color w:val="010000"/>
                <w:sz w:val="20"/>
              </w:rPr>
              <w:t>lending; Contracts/Transactions on guarantees, warranties, pledges, mortgages and other contracts</w:t>
            </w:r>
          </w:p>
        </w:tc>
        <w:tc>
          <w:tcPr>
            <w:tcW w:w="2225" w:type="pct"/>
            <w:shd w:val="clear" w:color="auto" w:fill="auto"/>
            <w:tcMar>
              <w:top w:w="0" w:type="dxa"/>
              <w:bottom w:w="0" w:type="dxa"/>
            </w:tcMar>
            <w:vAlign w:val="center"/>
          </w:tcPr>
          <w:p w14:paraId="2DF03205" w14:textId="77777777" w:rsidR="00B65A00" w:rsidRPr="00F8318B" w:rsidRDefault="00FC69C5" w:rsidP="004C2D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318B">
              <w:rPr>
                <w:rFonts w:ascii="Arial" w:hAnsi="Arial" w:cs="Arial"/>
                <w:color w:val="010000"/>
                <w:sz w:val="20"/>
              </w:rPr>
              <w:t>Less than 35% of the total asset value recorded in the</w:t>
            </w:r>
            <w:r w:rsidR="0072217E" w:rsidRPr="00F8318B">
              <w:rPr>
                <w:rFonts w:ascii="Arial" w:hAnsi="Arial" w:cs="Arial"/>
                <w:color w:val="010000"/>
                <w:sz w:val="20"/>
              </w:rPr>
              <w:t xml:space="preserve"> </w:t>
            </w:r>
            <w:r w:rsidRPr="00F8318B">
              <w:rPr>
                <w:rFonts w:ascii="Arial" w:hAnsi="Arial" w:cs="Arial"/>
                <w:color w:val="010000"/>
                <w:sz w:val="20"/>
              </w:rPr>
              <w:t>most recent Audited Consolidated Financial Statements and as prescribed in the Company’s Charter</w:t>
            </w:r>
          </w:p>
        </w:tc>
      </w:tr>
      <w:tr w:rsidR="00B65A00" w:rsidRPr="00F8318B" w14:paraId="79889E1F" w14:textId="77777777" w:rsidTr="00F46905">
        <w:tc>
          <w:tcPr>
            <w:tcW w:w="378" w:type="pct"/>
            <w:shd w:val="clear" w:color="auto" w:fill="auto"/>
            <w:tcMar>
              <w:top w:w="0" w:type="dxa"/>
              <w:bottom w:w="0" w:type="dxa"/>
            </w:tcMar>
            <w:vAlign w:val="center"/>
          </w:tcPr>
          <w:p w14:paraId="26652BB1" w14:textId="77777777" w:rsidR="00B65A00" w:rsidRPr="00F8318B" w:rsidRDefault="00FC69C5" w:rsidP="004C2D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318B">
              <w:rPr>
                <w:rFonts w:ascii="Arial" w:hAnsi="Arial" w:cs="Arial"/>
                <w:color w:val="010000"/>
                <w:sz w:val="20"/>
              </w:rPr>
              <w:t>4</w:t>
            </w:r>
          </w:p>
        </w:tc>
        <w:tc>
          <w:tcPr>
            <w:tcW w:w="2397" w:type="pct"/>
            <w:shd w:val="clear" w:color="auto" w:fill="auto"/>
            <w:tcMar>
              <w:top w:w="0" w:type="dxa"/>
              <w:bottom w:w="0" w:type="dxa"/>
            </w:tcMar>
            <w:vAlign w:val="center"/>
          </w:tcPr>
          <w:p w14:paraId="1249E25F" w14:textId="77777777" w:rsidR="00B65A00" w:rsidRPr="00F8318B" w:rsidRDefault="00FC69C5" w:rsidP="004C2D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318B">
              <w:rPr>
                <w:rFonts w:ascii="Arial" w:hAnsi="Arial" w:cs="Arial"/>
                <w:color w:val="010000"/>
                <w:sz w:val="20"/>
              </w:rPr>
              <w:t>Contracts/Transactions on borrowing and selling assets signed with shareholders owning at least 51% of the total shares with voting rights or their affiliated persons.</w:t>
            </w:r>
          </w:p>
        </w:tc>
        <w:tc>
          <w:tcPr>
            <w:tcW w:w="2225" w:type="pct"/>
            <w:shd w:val="clear" w:color="auto" w:fill="auto"/>
            <w:tcMar>
              <w:top w:w="0" w:type="dxa"/>
              <w:bottom w:w="0" w:type="dxa"/>
            </w:tcMar>
            <w:vAlign w:val="center"/>
          </w:tcPr>
          <w:p w14:paraId="377E0B69" w14:textId="77777777" w:rsidR="00B65A00" w:rsidRPr="00F8318B" w:rsidRDefault="00FC69C5" w:rsidP="004C2D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318B">
              <w:rPr>
                <w:rFonts w:ascii="Arial" w:hAnsi="Arial" w:cs="Arial"/>
                <w:color w:val="010000"/>
                <w:sz w:val="20"/>
              </w:rPr>
              <w:t>Not exceeding 10% of the total value of assets recorded in the most recent Audited Consolidated Financial Statements and prescribed in the Company’s Charter</w:t>
            </w:r>
          </w:p>
        </w:tc>
      </w:tr>
      <w:tr w:rsidR="00B65A00" w:rsidRPr="00F8318B" w14:paraId="32EDF773" w14:textId="77777777" w:rsidTr="00F46905">
        <w:tc>
          <w:tcPr>
            <w:tcW w:w="378" w:type="pct"/>
            <w:shd w:val="clear" w:color="auto" w:fill="auto"/>
            <w:tcMar>
              <w:top w:w="0" w:type="dxa"/>
              <w:bottom w:w="0" w:type="dxa"/>
            </w:tcMar>
            <w:vAlign w:val="center"/>
          </w:tcPr>
          <w:p w14:paraId="09270972" w14:textId="609B30E0" w:rsidR="00B65A00" w:rsidRPr="00F8318B" w:rsidRDefault="00FC69C5" w:rsidP="004C2D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318B">
              <w:rPr>
                <w:rFonts w:ascii="Arial" w:hAnsi="Arial" w:cs="Arial"/>
                <w:color w:val="010000"/>
                <w:sz w:val="20"/>
              </w:rPr>
              <w:t>5</w:t>
            </w:r>
          </w:p>
        </w:tc>
        <w:tc>
          <w:tcPr>
            <w:tcW w:w="2397" w:type="pct"/>
            <w:shd w:val="clear" w:color="auto" w:fill="auto"/>
            <w:tcMar>
              <w:top w:w="0" w:type="dxa"/>
              <w:bottom w:w="0" w:type="dxa"/>
            </w:tcMar>
            <w:vAlign w:val="center"/>
          </w:tcPr>
          <w:p w14:paraId="39A20965" w14:textId="77777777" w:rsidR="00B65A00" w:rsidRPr="00F8318B" w:rsidRDefault="00FC69C5" w:rsidP="004C2D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318B">
              <w:rPr>
                <w:rFonts w:ascii="Arial" w:hAnsi="Arial" w:cs="Arial"/>
                <w:color w:val="010000"/>
                <w:sz w:val="20"/>
              </w:rPr>
              <w:t>Contracts/Transactions serving daily and regular business activities of the Company.</w:t>
            </w:r>
          </w:p>
        </w:tc>
        <w:tc>
          <w:tcPr>
            <w:tcW w:w="2225" w:type="pct"/>
            <w:shd w:val="clear" w:color="auto" w:fill="auto"/>
            <w:tcMar>
              <w:top w:w="0" w:type="dxa"/>
              <w:bottom w:w="0" w:type="dxa"/>
            </w:tcMar>
            <w:vAlign w:val="center"/>
          </w:tcPr>
          <w:p w14:paraId="184F3D43" w14:textId="77777777" w:rsidR="00B65A00" w:rsidRPr="00F8318B" w:rsidRDefault="00FC69C5" w:rsidP="004C2D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318B">
              <w:rPr>
                <w:rFonts w:ascii="Arial" w:hAnsi="Arial" w:cs="Arial"/>
                <w:color w:val="010000"/>
                <w:sz w:val="20"/>
              </w:rPr>
              <w:t>Not exceeding 5% of the total value of assets recorded in the most recent Audited Consolidated Financial Statements and prescribed in the Company’s Charter</w:t>
            </w:r>
          </w:p>
        </w:tc>
      </w:tr>
    </w:tbl>
    <w:p w14:paraId="6E3AD4E3" w14:textId="77777777" w:rsidR="00B65A00" w:rsidRPr="00F8318B" w:rsidRDefault="00FC69C5" w:rsidP="004C2D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318B">
        <w:rPr>
          <w:rFonts w:ascii="Arial" w:hAnsi="Arial" w:cs="Arial"/>
          <w:color w:val="010000"/>
          <w:sz w:val="20"/>
        </w:rPr>
        <w:t>‎‎Article 2. Terms of enforcement</w:t>
      </w:r>
    </w:p>
    <w:p w14:paraId="6205E7B2" w14:textId="20E6CFDC" w:rsidR="00B65A00" w:rsidRPr="00F8318B" w:rsidRDefault="00FC69C5" w:rsidP="004C2DC3">
      <w:pPr>
        <w:pBdr>
          <w:top w:val="nil"/>
          <w:left w:val="nil"/>
          <w:bottom w:val="nil"/>
          <w:right w:val="nil"/>
          <w:between w:val="nil"/>
        </w:pBdr>
        <w:tabs>
          <w:tab w:val="left" w:pos="432"/>
          <w:tab w:val="left" w:pos="8850"/>
        </w:tabs>
        <w:spacing w:after="120" w:line="360" w:lineRule="auto"/>
        <w:jc w:val="both"/>
        <w:rPr>
          <w:rFonts w:ascii="Arial" w:eastAsia="Arial" w:hAnsi="Arial" w:cs="Arial"/>
          <w:color w:val="010000"/>
          <w:sz w:val="20"/>
          <w:szCs w:val="20"/>
        </w:rPr>
      </w:pPr>
      <w:r w:rsidRPr="00F8318B">
        <w:rPr>
          <w:rFonts w:ascii="Arial" w:hAnsi="Arial" w:cs="Arial"/>
          <w:color w:val="010000"/>
          <w:sz w:val="20"/>
        </w:rPr>
        <w:t>Assign and authorize the Company's legal representative, based on the actual situation and business needs of the Company, to negotiate, decide on the content, sign, implement, and adjust each Contract/Transaction and/or legal representative authorized by the</w:t>
      </w:r>
      <w:r w:rsidR="00F8318B" w:rsidRPr="00F8318B">
        <w:rPr>
          <w:rFonts w:ascii="Arial" w:hAnsi="Arial" w:cs="Arial"/>
          <w:color w:val="010000"/>
          <w:sz w:val="20"/>
        </w:rPr>
        <w:t xml:space="preserve"> Board of Management </w:t>
      </w:r>
      <w:r w:rsidRPr="00F8318B">
        <w:rPr>
          <w:rFonts w:ascii="Arial" w:hAnsi="Arial" w:cs="Arial"/>
          <w:color w:val="010000"/>
          <w:sz w:val="20"/>
        </w:rPr>
        <w:t xml:space="preserve">to decide, sign, implement, adjust, amend, supplement conditions and terms and sign the Contract / Transactions </w:t>
      </w:r>
      <w:r w:rsidRPr="00F8318B">
        <w:rPr>
          <w:rFonts w:ascii="Arial" w:hAnsi="Arial" w:cs="Arial"/>
          <w:color w:val="010000"/>
          <w:sz w:val="20"/>
        </w:rPr>
        <w:lastRenderedPageBreak/>
        <w:t>with related parties (including cancellation, termination, liquidation, etc.) in accordance with the limit framework approved by the Board of Directors above, in accordance with legal regulations, on the principle of equality, voluntariness, ensuring the benefits of the Company and shareholders, the terms of the transaction are not more disadvantageous than similar terms proposed by other independent partners.</w:t>
      </w:r>
    </w:p>
    <w:p w14:paraId="179692C6" w14:textId="77777777" w:rsidR="00B65A00" w:rsidRPr="00F8318B" w:rsidRDefault="00FC69C5" w:rsidP="004C2DC3">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318B">
        <w:rPr>
          <w:rFonts w:ascii="Arial" w:hAnsi="Arial" w:cs="Arial"/>
          <w:color w:val="010000"/>
          <w:sz w:val="20"/>
        </w:rPr>
        <w:t>Article 3. Terms of enforcement</w:t>
      </w:r>
    </w:p>
    <w:p w14:paraId="06897A1E" w14:textId="77777777" w:rsidR="00B65A00" w:rsidRPr="00F8318B" w:rsidRDefault="00FC69C5" w:rsidP="004C2D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318B">
        <w:rPr>
          <w:rFonts w:ascii="Arial" w:hAnsi="Arial" w:cs="Arial"/>
          <w:color w:val="010000"/>
          <w:sz w:val="20"/>
        </w:rPr>
        <w:t>This Resolution takes effect for transactions between the Company and affiliated persons within the limit approved incurring in 2024.</w:t>
      </w:r>
    </w:p>
    <w:p w14:paraId="631E8F9D" w14:textId="045AEB70" w:rsidR="00B65A00" w:rsidRPr="00F8318B" w:rsidRDefault="00FC69C5" w:rsidP="004C2D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318B">
        <w:rPr>
          <w:rFonts w:ascii="Arial" w:hAnsi="Arial" w:cs="Arial"/>
          <w:color w:val="010000"/>
          <w:sz w:val="20"/>
        </w:rPr>
        <w:t>Members of the Board of Directors, the Board of Managers, and Head of related Blocks/Divisions/</w:t>
      </w:r>
      <w:r w:rsidR="00F8318B" w:rsidRPr="00F8318B">
        <w:rPr>
          <w:rFonts w:ascii="Arial" w:hAnsi="Arial" w:cs="Arial"/>
          <w:color w:val="010000"/>
          <w:sz w:val="20"/>
        </w:rPr>
        <w:t xml:space="preserve"> </w:t>
      </w:r>
      <w:r w:rsidRPr="00F8318B">
        <w:rPr>
          <w:rFonts w:ascii="Arial" w:hAnsi="Arial" w:cs="Arial"/>
          <w:color w:val="010000"/>
          <w:sz w:val="20"/>
        </w:rPr>
        <w:t>Departments are responsible for implementing this Resolution.</w:t>
      </w:r>
    </w:p>
    <w:sectPr w:rsidR="00B65A00" w:rsidRPr="00F8318B" w:rsidSect="00F4690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00"/>
    <w:rsid w:val="002A4FFA"/>
    <w:rsid w:val="004C2DC3"/>
    <w:rsid w:val="0072217E"/>
    <w:rsid w:val="007D29F2"/>
    <w:rsid w:val="00B65A00"/>
    <w:rsid w:val="00F46905"/>
    <w:rsid w:val="00F8318B"/>
    <w:rsid w:val="00FC6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767D8"/>
  <w15:docId w15:val="{164B9466-6DBD-4CB6-8FDB-7C588749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50"/>
      <w:szCs w:val="5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D90D2A"/>
      <w:w w:val="60"/>
      <w:sz w:val="32"/>
      <w:szCs w:val="32"/>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rPr>
  </w:style>
  <w:style w:type="paragraph" w:customStyle="1" w:styleId="Vnbnnidung20">
    <w:name w:val="Văn bản nội dung (2)"/>
    <w:basedOn w:val="Normal"/>
    <w:link w:val="Vnbnnidung2"/>
    <w:pPr>
      <w:spacing w:line="182" w:lineRule="auto"/>
    </w:pPr>
    <w:rPr>
      <w:rFonts w:ascii="Times New Roman" w:eastAsia="Times New Roman" w:hAnsi="Times New Roman" w:cs="Times New Roman"/>
      <w:sz w:val="50"/>
      <w:szCs w:val="50"/>
    </w:rPr>
  </w:style>
  <w:style w:type="paragraph" w:customStyle="1" w:styleId="Tiu20">
    <w:name w:val="Tiêu đề #2"/>
    <w:basedOn w:val="Normal"/>
    <w:link w:val="Tiu2"/>
    <w:pPr>
      <w:spacing w:line="276" w:lineRule="auto"/>
      <w:ind w:left="1960"/>
      <w:outlineLvl w:val="1"/>
    </w:pPr>
    <w:rPr>
      <w:rFonts w:ascii="Times New Roman" w:eastAsia="Times New Roman" w:hAnsi="Times New Roman" w:cs="Times New Roman"/>
      <w:b/>
      <w:bCs/>
    </w:rPr>
  </w:style>
  <w:style w:type="paragraph" w:customStyle="1" w:styleId="Khc0">
    <w:name w:val="Khác"/>
    <w:basedOn w:val="Normal"/>
    <w:link w:val="Khc"/>
    <w:pPr>
      <w:ind w:firstLine="400"/>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b/>
      <w:bCs/>
    </w:rPr>
  </w:style>
  <w:style w:type="paragraph" w:customStyle="1" w:styleId="Tiu10">
    <w:name w:val="Tiêu đề #1"/>
    <w:basedOn w:val="Normal"/>
    <w:link w:val="Tiu1"/>
    <w:pPr>
      <w:spacing w:line="218" w:lineRule="auto"/>
      <w:ind w:left="3420"/>
      <w:jc w:val="right"/>
      <w:outlineLvl w:val="0"/>
    </w:pPr>
    <w:rPr>
      <w:rFonts w:ascii="Times New Roman" w:eastAsia="Times New Roman" w:hAnsi="Times New Roman" w:cs="Times New Roman"/>
      <w:b/>
      <w:bCs/>
      <w:color w:val="D90D2A"/>
      <w:w w:val="60"/>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1j+kyPJcWKVNO3T4lxy7lSUDXg==">CgMxLjA4AHIhMXZKNmZ6b1NGeFUxTmxTanRoN2ZqZmk0TXhYVEQwRjVN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8</cp:revision>
  <dcterms:created xsi:type="dcterms:W3CDTF">2024-05-28T03:20:00Z</dcterms:created>
  <dcterms:modified xsi:type="dcterms:W3CDTF">2024-05-29T11:26:00Z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666cd6a17a780a72f61eca3c8edb1b9a0e4893468861c002adc70dc33260c524</vt:lpwstr>
  </property>
</Properties>
</file>