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9C6D" w14:textId="77777777" w:rsidR="00586E4C" w:rsidRPr="00CC35E6" w:rsidRDefault="005669F5" w:rsidP="00472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C35E6">
        <w:rPr>
          <w:rFonts w:ascii="Arial" w:hAnsi="Arial" w:cs="Arial"/>
          <w:b/>
          <w:color w:val="010000"/>
          <w:sz w:val="20"/>
        </w:rPr>
        <w:t>GLT: Board Resolution</w:t>
      </w:r>
    </w:p>
    <w:p w14:paraId="1158EC4C" w14:textId="77777777" w:rsidR="00586E4C" w:rsidRPr="00CC35E6" w:rsidRDefault="005669F5" w:rsidP="00472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On May 22, 2024, Global Electrical Technology Corp. announced Resolution No. 04/2024/NQ-HDQT-CBTT as follows:</w:t>
      </w:r>
    </w:p>
    <w:p w14:paraId="1B6DEC43" w14:textId="77777777" w:rsidR="00586E4C" w:rsidRPr="00CC35E6" w:rsidRDefault="005669F5" w:rsidP="00472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‎‎Article 1. Approve The report on busin</w:t>
      </w:r>
      <w:bookmarkStart w:id="0" w:name="_GoBack"/>
      <w:bookmarkEnd w:id="0"/>
      <w:r w:rsidRPr="00CC35E6">
        <w:rPr>
          <w:rFonts w:ascii="Arial" w:hAnsi="Arial" w:cs="Arial"/>
          <w:color w:val="010000"/>
          <w:sz w:val="20"/>
        </w:rPr>
        <w:t>ess results for Q4/2023 (January 1, 2024 - March 31, 2024) and the fiscal year 2023 (April 1, 2023 - March 31, 2024).</w:t>
      </w:r>
    </w:p>
    <w:p w14:paraId="630D9935" w14:textId="77777777" w:rsidR="00586E4C" w:rsidRPr="00CC35E6" w:rsidRDefault="005669F5" w:rsidP="00472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‎‎Article 2. Agree to submit to the GLT’s Annual General Meeting of Shareholders at the 2024:</w:t>
      </w:r>
    </w:p>
    <w:p w14:paraId="1BBB826A" w14:textId="77777777" w:rsidR="00586E4C" w:rsidRPr="00CC35E6" w:rsidRDefault="005669F5" w:rsidP="00472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Situation of the use and appropriation for bonus and welfare fund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51"/>
        <w:gridCol w:w="1965"/>
      </w:tblGrid>
      <w:tr w:rsidR="00586E4C" w:rsidRPr="00CC35E6" w14:paraId="7E3858EF" w14:textId="77777777" w:rsidTr="005233A6">
        <w:tc>
          <w:tcPr>
            <w:tcW w:w="3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6CF2A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C629A4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Amount (Million VND)</w:t>
            </w:r>
          </w:p>
        </w:tc>
      </w:tr>
      <w:tr w:rsidR="00586E4C" w:rsidRPr="00CC35E6" w14:paraId="5ECD9133" w14:textId="77777777" w:rsidTr="005233A6">
        <w:tc>
          <w:tcPr>
            <w:tcW w:w="3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8B94A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Opening balance (as of April 1, 2023)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93E74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2.136</w:t>
            </w:r>
          </w:p>
        </w:tc>
      </w:tr>
      <w:tr w:rsidR="00586E4C" w:rsidRPr="00CC35E6" w14:paraId="328F2981" w14:textId="77777777" w:rsidTr="005233A6">
        <w:tc>
          <w:tcPr>
            <w:tcW w:w="3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8400D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Appropriation from profit (after deducting welfare expenses used during the year)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DE320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</w:tr>
      <w:tr w:rsidR="00586E4C" w:rsidRPr="00CC35E6" w14:paraId="69294534" w14:textId="77777777" w:rsidTr="005233A6">
        <w:tc>
          <w:tcPr>
            <w:tcW w:w="3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7FC66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Other increases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ABA49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</w:tr>
      <w:tr w:rsidR="00586E4C" w:rsidRPr="00CC35E6" w14:paraId="28DB1ABE" w14:textId="77777777" w:rsidTr="005233A6">
        <w:tc>
          <w:tcPr>
            <w:tcW w:w="3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0CF0E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Transfer fund to ITD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42CE6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105</w:t>
            </w:r>
          </w:p>
        </w:tc>
      </w:tr>
      <w:tr w:rsidR="00586E4C" w:rsidRPr="00CC35E6" w14:paraId="47A7DD94" w14:textId="77777777" w:rsidTr="005233A6">
        <w:tc>
          <w:tcPr>
            <w:tcW w:w="3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DC4C9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Utilized during the period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34416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782</w:t>
            </w:r>
          </w:p>
        </w:tc>
      </w:tr>
      <w:tr w:rsidR="00586E4C" w:rsidRPr="00CC35E6" w14:paraId="0A198EE7" w14:textId="77777777" w:rsidTr="005233A6">
        <w:tc>
          <w:tcPr>
            <w:tcW w:w="39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C4B96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Closing balance (as of March 31, 2024)</w:t>
            </w:r>
          </w:p>
        </w:tc>
        <w:tc>
          <w:tcPr>
            <w:tcW w:w="10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C84A5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1.285</w:t>
            </w:r>
          </w:p>
        </w:tc>
      </w:tr>
    </w:tbl>
    <w:p w14:paraId="118BE90C" w14:textId="77777777" w:rsidR="00586E4C" w:rsidRPr="00CC35E6" w:rsidRDefault="005669F5" w:rsidP="00472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Investment and development fund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9"/>
        <w:gridCol w:w="1967"/>
      </w:tblGrid>
      <w:tr w:rsidR="00586E4C" w:rsidRPr="00CC35E6" w14:paraId="377D8D09" w14:textId="77777777" w:rsidTr="005233A6">
        <w:tc>
          <w:tcPr>
            <w:tcW w:w="3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81C85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Items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AE5C4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Amount (Million VND)</w:t>
            </w:r>
          </w:p>
        </w:tc>
      </w:tr>
      <w:tr w:rsidR="00586E4C" w:rsidRPr="00CC35E6" w14:paraId="324D084A" w14:textId="77777777" w:rsidTr="005233A6">
        <w:tc>
          <w:tcPr>
            <w:tcW w:w="3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85D6C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Opening balance (as of April 1, 2023)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4D930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10.050</w:t>
            </w:r>
          </w:p>
        </w:tc>
      </w:tr>
      <w:tr w:rsidR="00586E4C" w:rsidRPr="00CC35E6" w14:paraId="5EDFCB27" w14:textId="77777777" w:rsidTr="005233A6">
        <w:tc>
          <w:tcPr>
            <w:tcW w:w="3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3D07B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Appropriation for funds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1D11B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86E4C" w:rsidRPr="00CC35E6" w14:paraId="2A20B491" w14:textId="77777777" w:rsidTr="005233A6">
        <w:tc>
          <w:tcPr>
            <w:tcW w:w="3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188E9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Utilized during the period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E2224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586E4C" w:rsidRPr="00CC35E6" w14:paraId="6EF86B02" w14:textId="77777777" w:rsidTr="005233A6">
        <w:tc>
          <w:tcPr>
            <w:tcW w:w="3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BF152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Reversal during the period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5BE0B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10.050</w:t>
            </w:r>
          </w:p>
        </w:tc>
      </w:tr>
      <w:tr w:rsidR="00586E4C" w:rsidRPr="00CC35E6" w14:paraId="6440E030" w14:textId="77777777" w:rsidTr="005233A6">
        <w:tc>
          <w:tcPr>
            <w:tcW w:w="39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E22B6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Closing balance (as of March 31, 2024)</w:t>
            </w:r>
          </w:p>
        </w:tc>
        <w:tc>
          <w:tcPr>
            <w:tcW w:w="10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F68B0A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14:paraId="27E57E4F" w14:textId="77777777" w:rsidR="00586E4C" w:rsidRPr="00CC35E6" w:rsidRDefault="005669F5" w:rsidP="00472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Dividend payment rate in 2023: Expected rate of 25% in cash.</w:t>
      </w:r>
    </w:p>
    <w:p w14:paraId="2A2B739E" w14:textId="77777777" w:rsidR="00586E4C" w:rsidRPr="00CC35E6" w:rsidRDefault="005669F5" w:rsidP="00472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Business plan for 2024 with: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31"/>
        <w:gridCol w:w="2885"/>
      </w:tblGrid>
      <w:tr w:rsidR="00586E4C" w:rsidRPr="00CC35E6" w14:paraId="48C02463" w14:textId="77777777" w:rsidTr="005233A6">
        <w:tc>
          <w:tcPr>
            <w:tcW w:w="3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FF42D9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Financial targets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45F7D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Annual plan from April 01, 2024 to March 31, 2025</w:t>
            </w:r>
          </w:p>
        </w:tc>
      </w:tr>
      <w:tr w:rsidR="00586E4C" w:rsidRPr="00CC35E6" w14:paraId="67EA75B2" w14:textId="77777777" w:rsidTr="005233A6">
        <w:tc>
          <w:tcPr>
            <w:tcW w:w="3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0CBF9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Consolidated net revenue of the Group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DD969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VND 300 Billion</w:t>
            </w:r>
          </w:p>
        </w:tc>
      </w:tr>
      <w:tr w:rsidR="00586E4C" w:rsidRPr="00CC35E6" w14:paraId="56AAFF84" w14:textId="77777777" w:rsidTr="005233A6">
        <w:tc>
          <w:tcPr>
            <w:tcW w:w="3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224BA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Consolidated profit after tax of shareholders of holding company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7BF19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VND 17.5 Billion</w:t>
            </w:r>
          </w:p>
        </w:tc>
      </w:tr>
      <w:tr w:rsidR="00586E4C" w:rsidRPr="00CC35E6" w14:paraId="6E279104" w14:textId="77777777" w:rsidTr="005233A6">
        <w:tc>
          <w:tcPr>
            <w:tcW w:w="3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95832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Expected dividend payment in 2024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96FEC" w14:textId="77777777" w:rsidR="00586E4C" w:rsidRPr="00CC35E6" w:rsidRDefault="005669F5" w:rsidP="0047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C35E6">
              <w:rPr>
                <w:rFonts w:ascii="Arial" w:hAnsi="Arial" w:cs="Arial"/>
                <w:color w:val="010000"/>
                <w:sz w:val="20"/>
              </w:rPr>
              <w:t>15%</w:t>
            </w:r>
          </w:p>
        </w:tc>
      </w:tr>
    </w:tbl>
    <w:p w14:paraId="7EF32FF3" w14:textId="77777777" w:rsidR="00586E4C" w:rsidRPr="00CC35E6" w:rsidRDefault="005669F5" w:rsidP="00472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Amendment and supplement to the Company’s Charter</w:t>
      </w:r>
    </w:p>
    <w:p w14:paraId="528373E3" w14:textId="77777777" w:rsidR="00586E4C" w:rsidRPr="00CC35E6" w:rsidRDefault="005669F5" w:rsidP="00472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Amendment and supplement to the Internal regulation on corporate governance;</w:t>
      </w:r>
    </w:p>
    <w:p w14:paraId="1801B9FD" w14:textId="77777777" w:rsidR="00586E4C" w:rsidRPr="00CC35E6" w:rsidRDefault="005669F5" w:rsidP="00472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lastRenderedPageBreak/>
        <w:t>‎‎Article 3. Members of the Board of Directors, the General Manager, affiliated departments and individuals are responsible for implementing the contents of this Resolution.</w:t>
      </w:r>
    </w:p>
    <w:p w14:paraId="1548CF51" w14:textId="77777777" w:rsidR="00586E4C" w:rsidRPr="00CC35E6" w:rsidRDefault="005669F5" w:rsidP="00472D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C35E6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sectPr w:rsidR="00586E4C" w:rsidRPr="00CC35E6" w:rsidSect="005233A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00AA"/>
    <w:multiLevelType w:val="multilevel"/>
    <w:tmpl w:val="9698C758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242"/>
    <w:multiLevelType w:val="multilevel"/>
    <w:tmpl w:val="0200F1D6"/>
    <w:lvl w:ilvl="0">
      <w:start w:val="3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4C"/>
    <w:rsid w:val="00402FA6"/>
    <w:rsid w:val="00472DA9"/>
    <w:rsid w:val="005233A6"/>
    <w:rsid w:val="005669F5"/>
    <w:rsid w:val="00586E4C"/>
    <w:rsid w:val="00A04E55"/>
    <w:rsid w:val="00C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ADE17"/>
  <w15:docId w15:val="{297985C4-732E-4887-AFDA-FA79B29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B223F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33" w:lineRule="auto"/>
      <w:ind w:left="1240"/>
      <w:jc w:val="right"/>
    </w:pPr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Normal"/>
    <w:link w:val="Bodytext4"/>
    <w:rPr>
      <w:rFonts w:ascii="Tahoma" w:eastAsia="Tahoma" w:hAnsi="Tahoma" w:cs="Tahoma"/>
      <w:color w:val="BB223F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B026c70VNx1CUz3gE0CtqmQtg==">CgMxLjA4AHIhMVVScEo3akE2WGxCcDNWcTg5MlU5QUIwUWZmOGY5T2dN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12</cp:revision>
  <dcterms:created xsi:type="dcterms:W3CDTF">2024-05-28T03:23:00Z</dcterms:created>
  <dcterms:modified xsi:type="dcterms:W3CDTF">2024-05-29T11:26:00Z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110de3bb4e8802e4f5318cab762ea01447ef9cd8f605d2a674792f2949258c36</vt:lpwstr>
  </property>
</Properties>
</file>