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55662" w14:textId="0BCDB392" w:rsidR="00D5195D" w:rsidRPr="005C01E1" w:rsidRDefault="00941EAA" w:rsidP="004A4686">
      <w:pPr>
        <w:widowControl/>
        <w:tabs>
          <w:tab w:val="left" w:pos="450"/>
        </w:tabs>
        <w:spacing w:after="120" w:line="360" w:lineRule="auto"/>
        <w:jc w:val="both"/>
        <w:rPr>
          <w:rFonts w:ascii="Arial" w:eastAsia="Arial" w:hAnsi="Arial" w:cs="Arial"/>
          <w:b/>
          <w:color w:val="010000"/>
          <w:sz w:val="20"/>
          <w:szCs w:val="20"/>
        </w:rPr>
      </w:pPr>
      <w:r w:rsidRPr="005C01E1">
        <w:rPr>
          <w:rFonts w:ascii="Arial" w:hAnsi="Arial" w:cs="Arial"/>
          <w:b/>
          <w:color w:val="010000"/>
          <w:sz w:val="20"/>
        </w:rPr>
        <w:t xml:space="preserve">TFC: </w:t>
      </w:r>
      <w:r w:rsidR="0074142F">
        <w:rPr>
          <w:rFonts w:ascii="Arial" w:hAnsi="Arial" w:cs="Arial"/>
          <w:b/>
          <w:color w:val="010000"/>
          <w:sz w:val="20"/>
        </w:rPr>
        <w:t xml:space="preserve">Annual </w:t>
      </w:r>
      <w:r w:rsidRPr="005C01E1">
        <w:rPr>
          <w:rFonts w:ascii="Arial" w:hAnsi="Arial" w:cs="Arial"/>
          <w:b/>
          <w:color w:val="010000"/>
          <w:sz w:val="20"/>
        </w:rPr>
        <w:t>General Mandate 2024</w:t>
      </w:r>
    </w:p>
    <w:p w14:paraId="08CF9CF6"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On May 20, 2024, Trang Corporation Joint Stock Company announced General Mandate No. 01/NQ-DHDCD/2024 as follows:</w:t>
      </w:r>
    </w:p>
    <w:p w14:paraId="1FC5350D"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1: Approve the Report of the Board of Directors in 2023</w:t>
      </w:r>
    </w:p>
    <w:p w14:paraId="6B910997" w14:textId="3E27AD11"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 xml:space="preserve">The </w:t>
      </w:r>
      <w:r w:rsidR="004A4686">
        <w:rPr>
          <w:rFonts w:ascii="Arial" w:hAnsi="Arial" w:cs="Arial"/>
          <w:color w:val="010000"/>
          <w:sz w:val="20"/>
        </w:rPr>
        <w:t>General Meeting</w:t>
      </w:r>
      <w:r w:rsidRPr="005C01E1">
        <w:rPr>
          <w:rFonts w:ascii="Arial" w:hAnsi="Arial" w:cs="Arial"/>
          <w:color w:val="010000"/>
          <w:sz w:val="20"/>
        </w:rPr>
        <w:t xml:space="preserve"> approves the Report of the Board of Directors in 2023</w:t>
      </w:r>
    </w:p>
    <w:p w14:paraId="3629C5D7"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2: Approve the Report of the Board of Management in 2023</w:t>
      </w:r>
    </w:p>
    <w:p w14:paraId="7B9796CE" w14:textId="6497E364"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 xml:space="preserve">The </w:t>
      </w:r>
      <w:r w:rsidR="004A4686">
        <w:rPr>
          <w:rFonts w:ascii="Arial" w:hAnsi="Arial" w:cs="Arial"/>
          <w:color w:val="010000"/>
          <w:sz w:val="20"/>
        </w:rPr>
        <w:t>General Meeting</w:t>
      </w:r>
      <w:r w:rsidRPr="005C01E1">
        <w:rPr>
          <w:rFonts w:ascii="Arial" w:hAnsi="Arial" w:cs="Arial"/>
          <w:color w:val="010000"/>
          <w:sz w:val="20"/>
        </w:rPr>
        <w:t xml:space="preserve"> approves the Report of the Board of Management in 2023</w:t>
      </w:r>
    </w:p>
    <w:p w14:paraId="0181448A" w14:textId="77777777" w:rsidR="00D5195D" w:rsidRPr="005C01E1" w:rsidRDefault="00941EAA" w:rsidP="004A4686">
      <w:pP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Business results in 2023</w:t>
      </w:r>
    </w:p>
    <w:p w14:paraId="572F2498" w14:textId="77777777" w:rsidR="00D5195D" w:rsidRPr="005C01E1" w:rsidRDefault="00941EAA" w:rsidP="004A4686">
      <w:pP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Unit: Billion VND</w:t>
      </w:r>
    </w:p>
    <w:tbl>
      <w:tblPr>
        <w:tblStyle w:va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37"/>
        <w:gridCol w:w="1473"/>
        <w:gridCol w:w="1368"/>
        <w:gridCol w:w="1719"/>
        <w:gridCol w:w="1413"/>
      </w:tblGrid>
      <w:tr w:rsidR="00D5195D" w:rsidRPr="005C01E1" w14:paraId="195DBAE8" w14:textId="77777777" w:rsidTr="00D847E8">
        <w:tc>
          <w:tcPr>
            <w:tcW w:w="1685" w:type="pct"/>
            <w:shd w:val="clear" w:color="auto" w:fill="auto"/>
            <w:tcMar>
              <w:top w:w="0" w:type="dxa"/>
              <w:left w:w="20" w:type="dxa"/>
              <w:bottom w:w="0" w:type="dxa"/>
              <w:right w:w="20" w:type="dxa"/>
            </w:tcMar>
            <w:vAlign w:val="center"/>
          </w:tcPr>
          <w:p w14:paraId="469BB97B"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Targets</w:t>
            </w:r>
          </w:p>
        </w:tc>
        <w:tc>
          <w:tcPr>
            <w:tcW w:w="817" w:type="pct"/>
            <w:shd w:val="clear" w:color="auto" w:fill="auto"/>
            <w:tcMar>
              <w:top w:w="0" w:type="dxa"/>
              <w:left w:w="20" w:type="dxa"/>
              <w:bottom w:w="0" w:type="dxa"/>
              <w:right w:w="20" w:type="dxa"/>
            </w:tcMar>
            <w:vAlign w:val="center"/>
          </w:tcPr>
          <w:p w14:paraId="5F2775F4"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2022</w:t>
            </w:r>
          </w:p>
        </w:tc>
        <w:tc>
          <w:tcPr>
            <w:tcW w:w="759" w:type="pct"/>
            <w:shd w:val="clear" w:color="auto" w:fill="auto"/>
            <w:tcMar>
              <w:top w:w="0" w:type="dxa"/>
              <w:left w:w="20" w:type="dxa"/>
              <w:bottom w:w="0" w:type="dxa"/>
              <w:right w:w="20" w:type="dxa"/>
            </w:tcMar>
            <w:vAlign w:val="center"/>
          </w:tcPr>
          <w:p w14:paraId="07E4FC6B"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2023</w:t>
            </w:r>
          </w:p>
        </w:tc>
        <w:tc>
          <w:tcPr>
            <w:tcW w:w="954" w:type="pct"/>
            <w:shd w:val="clear" w:color="auto" w:fill="auto"/>
            <w:tcMar>
              <w:top w:w="0" w:type="dxa"/>
              <w:left w:w="20" w:type="dxa"/>
              <w:bottom w:w="0" w:type="dxa"/>
              <w:right w:w="20" w:type="dxa"/>
            </w:tcMar>
            <w:vAlign w:val="center"/>
          </w:tcPr>
          <w:p w14:paraId="76B44220"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Increase/Decrease</w:t>
            </w:r>
          </w:p>
        </w:tc>
        <w:tc>
          <w:tcPr>
            <w:tcW w:w="784" w:type="pct"/>
            <w:shd w:val="clear" w:color="auto" w:fill="auto"/>
            <w:tcMar>
              <w:top w:w="0" w:type="dxa"/>
              <w:left w:w="20" w:type="dxa"/>
              <w:bottom w:w="0" w:type="dxa"/>
              <w:right w:w="20" w:type="dxa"/>
            </w:tcMar>
            <w:vAlign w:val="center"/>
          </w:tcPr>
          <w:p w14:paraId="7C59BABC"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w:t>
            </w:r>
          </w:p>
        </w:tc>
      </w:tr>
      <w:tr w:rsidR="00D5195D" w:rsidRPr="005C01E1" w14:paraId="7DC4DE3C" w14:textId="77777777" w:rsidTr="00D847E8">
        <w:tc>
          <w:tcPr>
            <w:tcW w:w="1685" w:type="pct"/>
            <w:shd w:val="clear" w:color="auto" w:fill="auto"/>
            <w:tcMar>
              <w:top w:w="0" w:type="dxa"/>
              <w:left w:w="20" w:type="dxa"/>
              <w:bottom w:w="0" w:type="dxa"/>
              <w:right w:w="20" w:type="dxa"/>
            </w:tcMar>
            <w:vAlign w:val="center"/>
          </w:tcPr>
          <w:p w14:paraId="3BD80C74"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Total assets</w:t>
            </w:r>
          </w:p>
        </w:tc>
        <w:tc>
          <w:tcPr>
            <w:tcW w:w="817" w:type="pct"/>
            <w:shd w:val="clear" w:color="auto" w:fill="auto"/>
            <w:tcMar>
              <w:top w:w="0" w:type="dxa"/>
              <w:left w:w="20" w:type="dxa"/>
              <w:bottom w:w="0" w:type="dxa"/>
              <w:right w:w="20" w:type="dxa"/>
            </w:tcMar>
            <w:vAlign w:val="center"/>
          </w:tcPr>
          <w:p w14:paraId="6A62A47E"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713.62</w:t>
            </w:r>
          </w:p>
        </w:tc>
        <w:tc>
          <w:tcPr>
            <w:tcW w:w="759" w:type="pct"/>
            <w:shd w:val="clear" w:color="auto" w:fill="auto"/>
            <w:tcMar>
              <w:top w:w="0" w:type="dxa"/>
              <w:left w:w="20" w:type="dxa"/>
              <w:bottom w:w="0" w:type="dxa"/>
              <w:right w:w="20" w:type="dxa"/>
            </w:tcMar>
            <w:vAlign w:val="center"/>
          </w:tcPr>
          <w:p w14:paraId="654D5442"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683.05</w:t>
            </w:r>
          </w:p>
        </w:tc>
        <w:tc>
          <w:tcPr>
            <w:tcW w:w="954" w:type="pct"/>
            <w:shd w:val="clear" w:color="auto" w:fill="auto"/>
            <w:tcMar>
              <w:top w:w="0" w:type="dxa"/>
              <w:left w:w="20" w:type="dxa"/>
              <w:bottom w:w="0" w:type="dxa"/>
              <w:right w:w="20" w:type="dxa"/>
            </w:tcMar>
            <w:vAlign w:val="center"/>
          </w:tcPr>
          <w:p w14:paraId="62A643B0"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-30.57</w:t>
            </w:r>
          </w:p>
        </w:tc>
        <w:tc>
          <w:tcPr>
            <w:tcW w:w="784" w:type="pct"/>
            <w:shd w:val="clear" w:color="auto" w:fill="auto"/>
            <w:tcMar>
              <w:top w:w="0" w:type="dxa"/>
              <w:left w:w="20" w:type="dxa"/>
              <w:bottom w:w="0" w:type="dxa"/>
              <w:right w:w="20" w:type="dxa"/>
            </w:tcMar>
            <w:vAlign w:val="center"/>
          </w:tcPr>
          <w:p w14:paraId="1F7F9D5E"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- 4.28%</w:t>
            </w:r>
          </w:p>
        </w:tc>
      </w:tr>
      <w:tr w:rsidR="00D5195D" w:rsidRPr="005C01E1" w14:paraId="587EC92E" w14:textId="77777777" w:rsidTr="00D847E8">
        <w:tc>
          <w:tcPr>
            <w:tcW w:w="1685" w:type="pct"/>
            <w:shd w:val="clear" w:color="auto" w:fill="auto"/>
            <w:tcMar>
              <w:top w:w="0" w:type="dxa"/>
              <w:left w:w="20" w:type="dxa"/>
              <w:bottom w:w="0" w:type="dxa"/>
              <w:right w:w="20" w:type="dxa"/>
            </w:tcMar>
            <w:vAlign w:val="center"/>
          </w:tcPr>
          <w:p w14:paraId="048EA1C1"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Total owner’s equity</w:t>
            </w:r>
          </w:p>
        </w:tc>
        <w:tc>
          <w:tcPr>
            <w:tcW w:w="817" w:type="pct"/>
            <w:shd w:val="clear" w:color="auto" w:fill="auto"/>
            <w:tcMar>
              <w:top w:w="0" w:type="dxa"/>
              <w:left w:w="20" w:type="dxa"/>
              <w:bottom w:w="0" w:type="dxa"/>
              <w:right w:w="20" w:type="dxa"/>
            </w:tcMar>
            <w:vAlign w:val="center"/>
          </w:tcPr>
          <w:p w14:paraId="6EE029A0"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205.26</w:t>
            </w:r>
          </w:p>
        </w:tc>
        <w:tc>
          <w:tcPr>
            <w:tcW w:w="759" w:type="pct"/>
            <w:shd w:val="clear" w:color="auto" w:fill="auto"/>
            <w:tcMar>
              <w:top w:w="0" w:type="dxa"/>
              <w:left w:w="20" w:type="dxa"/>
              <w:bottom w:w="0" w:type="dxa"/>
              <w:right w:w="20" w:type="dxa"/>
            </w:tcMar>
            <w:vAlign w:val="center"/>
          </w:tcPr>
          <w:p w14:paraId="28A9C807"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248.39</w:t>
            </w:r>
          </w:p>
        </w:tc>
        <w:tc>
          <w:tcPr>
            <w:tcW w:w="954" w:type="pct"/>
            <w:shd w:val="clear" w:color="auto" w:fill="auto"/>
            <w:tcMar>
              <w:top w:w="0" w:type="dxa"/>
              <w:left w:w="20" w:type="dxa"/>
              <w:bottom w:w="0" w:type="dxa"/>
              <w:right w:w="20" w:type="dxa"/>
            </w:tcMar>
            <w:vAlign w:val="center"/>
          </w:tcPr>
          <w:p w14:paraId="146B7369"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43.13</w:t>
            </w:r>
          </w:p>
        </w:tc>
        <w:tc>
          <w:tcPr>
            <w:tcW w:w="784" w:type="pct"/>
            <w:shd w:val="clear" w:color="auto" w:fill="auto"/>
            <w:tcMar>
              <w:top w:w="0" w:type="dxa"/>
              <w:left w:w="20" w:type="dxa"/>
              <w:bottom w:w="0" w:type="dxa"/>
              <w:right w:w="20" w:type="dxa"/>
            </w:tcMar>
            <w:vAlign w:val="center"/>
          </w:tcPr>
          <w:p w14:paraId="793745D4"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21.01%</w:t>
            </w:r>
          </w:p>
        </w:tc>
      </w:tr>
      <w:tr w:rsidR="00D5195D" w:rsidRPr="005C01E1" w14:paraId="57ED85A2" w14:textId="77777777" w:rsidTr="00D847E8">
        <w:tc>
          <w:tcPr>
            <w:tcW w:w="1685" w:type="pct"/>
            <w:shd w:val="clear" w:color="auto" w:fill="auto"/>
            <w:tcMar>
              <w:top w:w="0" w:type="dxa"/>
              <w:left w:w="20" w:type="dxa"/>
              <w:bottom w:w="0" w:type="dxa"/>
              <w:right w:w="20" w:type="dxa"/>
            </w:tcMar>
            <w:vAlign w:val="center"/>
          </w:tcPr>
          <w:p w14:paraId="12F8CA99"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Net revenue</w:t>
            </w:r>
          </w:p>
        </w:tc>
        <w:tc>
          <w:tcPr>
            <w:tcW w:w="817" w:type="pct"/>
            <w:shd w:val="clear" w:color="auto" w:fill="auto"/>
            <w:tcMar>
              <w:top w:w="0" w:type="dxa"/>
              <w:left w:w="20" w:type="dxa"/>
              <w:bottom w:w="0" w:type="dxa"/>
              <w:right w:w="20" w:type="dxa"/>
            </w:tcMar>
            <w:vAlign w:val="center"/>
          </w:tcPr>
          <w:p w14:paraId="6D80FDBC"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850.12</w:t>
            </w:r>
          </w:p>
        </w:tc>
        <w:tc>
          <w:tcPr>
            <w:tcW w:w="759" w:type="pct"/>
            <w:shd w:val="clear" w:color="auto" w:fill="auto"/>
            <w:tcMar>
              <w:top w:w="0" w:type="dxa"/>
              <w:left w:w="20" w:type="dxa"/>
              <w:bottom w:w="0" w:type="dxa"/>
              <w:right w:w="20" w:type="dxa"/>
            </w:tcMar>
            <w:vAlign w:val="center"/>
          </w:tcPr>
          <w:p w14:paraId="0893114F"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782.30</w:t>
            </w:r>
          </w:p>
        </w:tc>
        <w:tc>
          <w:tcPr>
            <w:tcW w:w="954" w:type="pct"/>
            <w:shd w:val="clear" w:color="auto" w:fill="auto"/>
            <w:tcMar>
              <w:top w:w="0" w:type="dxa"/>
              <w:left w:w="20" w:type="dxa"/>
              <w:bottom w:w="0" w:type="dxa"/>
              <w:right w:w="20" w:type="dxa"/>
            </w:tcMar>
            <w:vAlign w:val="center"/>
          </w:tcPr>
          <w:p w14:paraId="0D0BA87E"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- 67.82</w:t>
            </w:r>
          </w:p>
        </w:tc>
        <w:tc>
          <w:tcPr>
            <w:tcW w:w="784" w:type="pct"/>
            <w:shd w:val="clear" w:color="auto" w:fill="auto"/>
            <w:tcMar>
              <w:top w:w="0" w:type="dxa"/>
              <w:left w:w="20" w:type="dxa"/>
              <w:bottom w:w="0" w:type="dxa"/>
              <w:right w:w="20" w:type="dxa"/>
            </w:tcMar>
            <w:vAlign w:val="center"/>
          </w:tcPr>
          <w:p w14:paraId="134BA45F"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- 7.98%</w:t>
            </w:r>
          </w:p>
        </w:tc>
      </w:tr>
      <w:tr w:rsidR="00D5195D" w:rsidRPr="005C01E1" w14:paraId="7F7BFF59" w14:textId="77777777" w:rsidTr="00D847E8">
        <w:tc>
          <w:tcPr>
            <w:tcW w:w="1685" w:type="pct"/>
            <w:shd w:val="clear" w:color="auto" w:fill="auto"/>
            <w:tcMar>
              <w:top w:w="0" w:type="dxa"/>
              <w:left w:w="20" w:type="dxa"/>
              <w:bottom w:w="0" w:type="dxa"/>
              <w:right w:w="20" w:type="dxa"/>
            </w:tcMar>
            <w:vAlign w:val="center"/>
          </w:tcPr>
          <w:p w14:paraId="4E2C8FBC"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Gross profit</w:t>
            </w:r>
          </w:p>
        </w:tc>
        <w:tc>
          <w:tcPr>
            <w:tcW w:w="817" w:type="pct"/>
            <w:shd w:val="clear" w:color="auto" w:fill="auto"/>
            <w:tcMar>
              <w:top w:w="0" w:type="dxa"/>
              <w:left w:w="20" w:type="dxa"/>
              <w:bottom w:w="0" w:type="dxa"/>
              <w:right w:w="20" w:type="dxa"/>
            </w:tcMar>
            <w:vAlign w:val="center"/>
          </w:tcPr>
          <w:p w14:paraId="1E93111E"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109.15</w:t>
            </w:r>
          </w:p>
        </w:tc>
        <w:tc>
          <w:tcPr>
            <w:tcW w:w="759" w:type="pct"/>
            <w:shd w:val="clear" w:color="auto" w:fill="auto"/>
            <w:tcMar>
              <w:top w:w="0" w:type="dxa"/>
              <w:left w:w="20" w:type="dxa"/>
              <w:bottom w:w="0" w:type="dxa"/>
              <w:right w:w="20" w:type="dxa"/>
            </w:tcMar>
            <w:vAlign w:val="center"/>
          </w:tcPr>
          <w:p w14:paraId="0B045C02"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133.90</w:t>
            </w:r>
          </w:p>
        </w:tc>
        <w:tc>
          <w:tcPr>
            <w:tcW w:w="954" w:type="pct"/>
            <w:shd w:val="clear" w:color="auto" w:fill="auto"/>
            <w:tcMar>
              <w:top w:w="0" w:type="dxa"/>
              <w:left w:w="20" w:type="dxa"/>
              <w:bottom w:w="0" w:type="dxa"/>
              <w:right w:w="20" w:type="dxa"/>
            </w:tcMar>
            <w:vAlign w:val="center"/>
          </w:tcPr>
          <w:p w14:paraId="414A5D5E"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24.75</w:t>
            </w:r>
          </w:p>
        </w:tc>
        <w:tc>
          <w:tcPr>
            <w:tcW w:w="784" w:type="pct"/>
            <w:shd w:val="clear" w:color="auto" w:fill="auto"/>
            <w:tcMar>
              <w:top w:w="0" w:type="dxa"/>
              <w:left w:w="20" w:type="dxa"/>
              <w:bottom w:w="0" w:type="dxa"/>
              <w:right w:w="20" w:type="dxa"/>
            </w:tcMar>
            <w:vAlign w:val="center"/>
          </w:tcPr>
          <w:p w14:paraId="5CECB22B"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22.68%</w:t>
            </w:r>
          </w:p>
        </w:tc>
      </w:tr>
      <w:tr w:rsidR="00D5195D" w:rsidRPr="005C01E1" w14:paraId="68A0A3E5" w14:textId="77777777" w:rsidTr="00D847E8">
        <w:tc>
          <w:tcPr>
            <w:tcW w:w="1685" w:type="pct"/>
            <w:shd w:val="clear" w:color="auto" w:fill="auto"/>
            <w:tcMar>
              <w:top w:w="0" w:type="dxa"/>
              <w:left w:w="20" w:type="dxa"/>
              <w:bottom w:w="0" w:type="dxa"/>
              <w:right w:w="20" w:type="dxa"/>
            </w:tcMar>
            <w:vAlign w:val="center"/>
          </w:tcPr>
          <w:p w14:paraId="52FFF078"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Profit before tax</w:t>
            </w:r>
          </w:p>
        </w:tc>
        <w:tc>
          <w:tcPr>
            <w:tcW w:w="817" w:type="pct"/>
            <w:shd w:val="clear" w:color="auto" w:fill="auto"/>
            <w:tcMar>
              <w:top w:w="0" w:type="dxa"/>
              <w:left w:w="20" w:type="dxa"/>
              <w:bottom w:w="0" w:type="dxa"/>
              <w:right w:w="20" w:type="dxa"/>
            </w:tcMar>
            <w:vAlign w:val="center"/>
          </w:tcPr>
          <w:p w14:paraId="3FB8FE3D"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31.98</w:t>
            </w:r>
          </w:p>
        </w:tc>
        <w:tc>
          <w:tcPr>
            <w:tcW w:w="759" w:type="pct"/>
            <w:shd w:val="clear" w:color="auto" w:fill="auto"/>
            <w:tcMar>
              <w:top w:w="0" w:type="dxa"/>
              <w:left w:w="20" w:type="dxa"/>
              <w:bottom w:w="0" w:type="dxa"/>
              <w:right w:w="20" w:type="dxa"/>
            </w:tcMar>
            <w:vAlign w:val="center"/>
          </w:tcPr>
          <w:p w14:paraId="36FE516A"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58.31</w:t>
            </w:r>
          </w:p>
        </w:tc>
        <w:tc>
          <w:tcPr>
            <w:tcW w:w="954" w:type="pct"/>
            <w:shd w:val="clear" w:color="auto" w:fill="auto"/>
            <w:tcMar>
              <w:top w:w="0" w:type="dxa"/>
              <w:left w:w="20" w:type="dxa"/>
              <w:bottom w:w="0" w:type="dxa"/>
              <w:right w:w="20" w:type="dxa"/>
            </w:tcMar>
            <w:vAlign w:val="center"/>
          </w:tcPr>
          <w:p w14:paraId="55860E86"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26.33</w:t>
            </w:r>
          </w:p>
        </w:tc>
        <w:tc>
          <w:tcPr>
            <w:tcW w:w="784" w:type="pct"/>
            <w:shd w:val="clear" w:color="auto" w:fill="auto"/>
            <w:tcMar>
              <w:top w:w="0" w:type="dxa"/>
              <w:left w:w="20" w:type="dxa"/>
              <w:bottom w:w="0" w:type="dxa"/>
              <w:right w:w="20" w:type="dxa"/>
            </w:tcMar>
            <w:vAlign w:val="center"/>
          </w:tcPr>
          <w:p w14:paraId="12E7FB4E"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82.33%</w:t>
            </w:r>
          </w:p>
        </w:tc>
      </w:tr>
      <w:tr w:rsidR="00D5195D" w:rsidRPr="005C01E1" w14:paraId="02A1D1FB" w14:textId="77777777" w:rsidTr="00D847E8">
        <w:tc>
          <w:tcPr>
            <w:tcW w:w="1685" w:type="pct"/>
            <w:shd w:val="clear" w:color="auto" w:fill="auto"/>
            <w:tcMar>
              <w:top w:w="0" w:type="dxa"/>
              <w:left w:w="20" w:type="dxa"/>
              <w:bottom w:w="0" w:type="dxa"/>
              <w:right w:w="20" w:type="dxa"/>
            </w:tcMar>
            <w:vAlign w:val="center"/>
          </w:tcPr>
          <w:p w14:paraId="75BC69BF"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Profit after tax of the holding company</w:t>
            </w:r>
          </w:p>
        </w:tc>
        <w:tc>
          <w:tcPr>
            <w:tcW w:w="817" w:type="pct"/>
            <w:shd w:val="clear" w:color="auto" w:fill="auto"/>
            <w:tcMar>
              <w:top w:w="0" w:type="dxa"/>
              <w:left w:w="20" w:type="dxa"/>
              <w:bottom w:w="0" w:type="dxa"/>
              <w:right w:w="20" w:type="dxa"/>
            </w:tcMar>
            <w:vAlign w:val="center"/>
          </w:tcPr>
          <w:p w14:paraId="5831B142"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29.11</w:t>
            </w:r>
          </w:p>
        </w:tc>
        <w:tc>
          <w:tcPr>
            <w:tcW w:w="759" w:type="pct"/>
            <w:shd w:val="clear" w:color="auto" w:fill="auto"/>
            <w:tcMar>
              <w:top w:w="0" w:type="dxa"/>
              <w:left w:w="20" w:type="dxa"/>
              <w:bottom w:w="0" w:type="dxa"/>
              <w:right w:w="20" w:type="dxa"/>
            </w:tcMar>
            <w:vAlign w:val="center"/>
          </w:tcPr>
          <w:p w14:paraId="056A07F9"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52.30</w:t>
            </w:r>
          </w:p>
        </w:tc>
        <w:tc>
          <w:tcPr>
            <w:tcW w:w="954" w:type="pct"/>
            <w:shd w:val="clear" w:color="auto" w:fill="auto"/>
            <w:tcMar>
              <w:top w:w="0" w:type="dxa"/>
              <w:left w:w="20" w:type="dxa"/>
              <w:bottom w:w="0" w:type="dxa"/>
              <w:right w:w="20" w:type="dxa"/>
            </w:tcMar>
            <w:vAlign w:val="center"/>
          </w:tcPr>
          <w:p w14:paraId="4FC08A83"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23.19</w:t>
            </w:r>
          </w:p>
        </w:tc>
        <w:tc>
          <w:tcPr>
            <w:tcW w:w="784" w:type="pct"/>
            <w:shd w:val="clear" w:color="auto" w:fill="auto"/>
            <w:tcMar>
              <w:top w:w="0" w:type="dxa"/>
              <w:left w:w="20" w:type="dxa"/>
              <w:bottom w:w="0" w:type="dxa"/>
              <w:right w:w="20" w:type="dxa"/>
            </w:tcMar>
            <w:vAlign w:val="center"/>
          </w:tcPr>
          <w:p w14:paraId="288EA021"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79.66%</w:t>
            </w:r>
          </w:p>
        </w:tc>
      </w:tr>
      <w:tr w:rsidR="00D5195D" w:rsidRPr="005C01E1" w14:paraId="647D5CB1" w14:textId="77777777" w:rsidTr="00D847E8">
        <w:tc>
          <w:tcPr>
            <w:tcW w:w="1685" w:type="pct"/>
            <w:shd w:val="clear" w:color="auto" w:fill="auto"/>
            <w:tcMar>
              <w:top w:w="0" w:type="dxa"/>
              <w:left w:w="20" w:type="dxa"/>
              <w:bottom w:w="0" w:type="dxa"/>
              <w:right w:w="20" w:type="dxa"/>
            </w:tcMar>
            <w:vAlign w:val="center"/>
          </w:tcPr>
          <w:p w14:paraId="1501424F"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Return on assets</w:t>
            </w:r>
          </w:p>
        </w:tc>
        <w:tc>
          <w:tcPr>
            <w:tcW w:w="817" w:type="pct"/>
            <w:shd w:val="clear" w:color="auto" w:fill="auto"/>
            <w:tcMar>
              <w:top w:w="0" w:type="dxa"/>
              <w:left w:w="20" w:type="dxa"/>
              <w:bottom w:w="0" w:type="dxa"/>
              <w:right w:w="20" w:type="dxa"/>
            </w:tcMar>
            <w:vAlign w:val="center"/>
          </w:tcPr>
          <w:p w14:paraId="6C59860C"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4.08%</w:t>
            </w:r>
          </w:p>
        </w:tc>
        <w:tc>
          <w:tcPr>
            <w:tcW w:w="759" w:type="pct"/>
            <w:shd w:val="clear" w:color="auto" w:fill="auto"/>
            <w:tcMar>
              <w:top w:w="0" w:type="dxa"/>
              <w:left w:w="20" w:type="dxa"/>
              <w:bottom w:w="0" w:type="dxa"/>
              <w:right w:w="20" w:type="dxa"/>
            </w:tcMar>
            <w:vAlign w:val="center"/>
          </w:tcPr>
          <w:p w14:paraId="417877CA"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7.66%</w:t>
            </w:r>
          </w:p>
        </w:tc>
        <w:tc>
          <w:tcPr>
            <w:tcW w:w="954" w:type="pct"/>
            <w:shd w:val="clear" w:color="auto" w:fill="auto"/>
            <w:tcMar>
              <w:top w:w="0" w:type="dxa"/>
              <w:left w:w="20" w:type="dxa"/>
              <w:bottom w:w="0" w:type="dxa"/>
              <w:right w:w="20" w:type="dxa"/>
            </w:tcMar>
            <w:vAlign w:val="center"/>
          </w:tcPr>
          <w:p w14:paraId="45985CEB"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3.58%</w:t>
            </w:r>
          </w:p>
        </w:tc>
        <w:tc>
          <w:tcPr>
            <w:tcW w:w="784" w:type="pct"/>
            <w:shd w:val="clear" w:color="auto" w:fill="auto"/>
            <w:tcMar>
              <w:top w:w="0" w:type="dxa"/>
              <w:left w:w="20" w:type="dxa"/>
              <w:bottom w:w="0" w:type="dxa"/>
              <w:right w:w="20" w:type="dxa"/>
            </w:tcMar>
            <w:vAlign w:val="center"/>
          </w:tcPr>
          <w:p w14:paraId="013189BA"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87.70%</w:t>
            </w:r>
          </w:p>
        </w:tc>
      </w:tr>
      <w:tr w:rsidR="00D5195D" w:rsidRPr="005C01E1" w14:paraId="66FDA273" w14:textId="77777777" w:rsidTr="00D847E8">
        <w:tc>
          <w:tcPr>
            <w:tcW w:w="1685" w:type="pct"/>
            <w:shd w:val="clear" w:color="auto" w:fill="auto"/>
            <w:tcMar>
              <w:top w:w="0" w:type="dxa"/>
              <w:left w:w="20" w:type="dxa"/>
              <w:bottom w:w="0" w:type="dxa"/>
              <w:right w:w="20" w:type="dxa"/>
            </w:tcMar>
            <w:vAlign w:val="center"/>
          </w:tcPr>
          <w:p w14:paraId="3859CE04"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Return on equity</w:t>
            </w:r>
          </w:p>
        </w:tc>
        <w:tc>
          <w:tcPr>
            <w:tcW w:w="817" w:type="pct"/>
            <w:shd w:val="clear" w:color="auto" w:fill="auto"/>
            <w:tcMar>
              <w:top w:w="0" w:type="dxa"/>
              <w:left w:w="20" w:type="dxa"/>
              <w:bottom w:w="0" w:type="dxa"/>
              <w:right w:w="20" w:type="dxa"/>
            </w:tcMar>
            <w:vAlign w:val="center"/>
          </w:tcPr>
          <w:p w14:paraId="68413AFB"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14.18%</w:t>
            </w:r>
          </w:p>
        </w:tc>
        <w:tc>
          <w:tcPr>
            <w:tcW w:w="759" w:type="pct"/>
            <w:shd w:val="clear" w:color="auto" w:fill="auto"/>
            <w:tcMar>
              <w:top w:w="0" w:type="dxa"/>
              <w:left w:w="20" w:type="dxa"/>
              <w:bottom w:w="0" w:type="dxa"/>
              <w:right w:w="20" w:type="dxa"/>
            </w:tcMar>
            <w:vAlign w:val="center"/>
          </w:tcPr>
          <w:p w14:paraId="29808C9F"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21.06%</w:t>
            </w:r>
          </w:p>
        </w:tc>
        <w:tc>
          <w:tcPr>
            <w:tcW w:w="954" w:type="pct"/>
            <w:shd w:val="clear" w:color="auto" w:fill="auto"/>
            <w:tcMar>
              <w:top w:w="0" w:type="dxa"/>
              <w:left w:w="20" w:type="dxa"/>
              <w:bottom w:w="0" w:type="dxa"/>
              <w:right w:w="20" w:type="dxa"/>
            </w:tcMar>
            <w:vAlign w:val="center"/>
          </w:tcPr>
          <w:p w14:paraId="439F76A5"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6.87%</w:t>
            </w:r>
          </w:p>
        </w:tc>
        <w:tc>
          <w:tcPr>
            <w:tcW w:w="784" w:type="pct"/>
            <w:shd w:val="clear" w:color="auto" w:fill="auto"/>
            <w:tcMar>
              <w:top w:w="0" w:type="dxa"/>
              <w:left w:w="20" w:type="dxa"/>
              <w:bottom w:w="0" w:type="dxa"/>
              <w:right w:w="20" w:type="dxa"/>
            </w:tcMar>
            <w:vAlign w:val="center"/>
          </w:tcPr>
          <w:p w14:paraId="57976B56" w14:textId="77777777" w:rsidR="00D5195D" w:rsidRPr="005C01E1" w:rsidRDefault="00941EAA" w:rsidP="00D847E8">
            <w:pPr>
              <w:tabs>
                <w:tab w:val="left" w:pos="450"/>
              </w:tabs>
              <w:spacing w:after="120" w:line="360" w:lineRule="auto"/>
              <w:rPr>
                <w:rFonts w:ascii="Arial" w:eastAsia="Arial" w:hAnsi="Arial" w:cs="Arial"/>
                <w:color w:val="010000"/>
                <w:sz w:val="20"/>
                <w:szCs w:val="20"/>
              </w:rPr>
            </w:pPr>
            <w:r w:rsidRPr="005C01E1">
              <w:rPr>
                <w:rFonts w:ascii="Arial" w:hAnsi="Arial" w:cs="Arial"/>
                <w:color w:val="010000"/>
                <w:sz w:val="20"/>
              </w:rPr>
              <w:t>48.47%</w:t>
            </w:r>
          </w:p>
        </w:tc>
      </w:tr>
    </w:tbl>
    <w:p w14:paraId="2B4DF84F"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3: Approve the Report of the Supervisory Board in 2023</w:t>
      </w:r>
    </w:p>
    <w:p w14:paraId="693BC311" w14:textId="11369783"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 xml:space="preserve">The </w:t>
      </w:r>
      <w:r w:rsidR="004A4686">
        <w:rPr>
          <w:rFonts w:ascii="Arial" w:hAnsi="Arial" w:cs="Arial"/>
          <w:color w:val="010000"/>
          <w:sz w:val="20"/>
        </w:rPr>
        <w:t>General Meeting</w:t>
      </w:r>
      <w:r w:rsidRPr="005C01E1">
        <w:rPr>
          <w:rFonts w:ascii="Arial" w:hAnsi="Arial" w:cs="Arial"/>
          <w:color w:val="010000"/>
          <w:sz w:val="20"/>
        </w:rPr>
        <w:t xml:space="preserve"> approves the Report of the Supervisory Board in 2023</w:t>
      </w:r>
    </w:p>
    <w:p w14:paraId="34B7513F" w14:textId="77777777" w:rsidR="00D5195D" w:rsidRPr="005C01E1" w:rsidRDefault="00941EAA" w:rsidP="004A4686">
      <w:pPr>
        <w:pBdr>
          <w:top w:val="nil"/>
          <w:left w:val="nil"/>
          <w:bottom w:val="nil"/>
          <w:right w:val="nil"/>
          <w:between w:val="nil"/>
        </w:pBdr>
        <w:tabs>
          <w:tab w:val="left" w:pos="450"/>
          <w:tab w:val="left" w:pos="9892"/>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4: Approve the Audited Financial Statements 2023</w:t>
      </w:r>
    </w:p>
    <w:p w14:paraId="77B4B134" w14:textId="463902B5" w:rsidR="00D5195D" w:rsidRPr="005C01E1" w:rsidRDefault="00941EAA" w:rsidP="004A4686">
      <w:pPr>
        <w:pBdr>
          <w:top w:val="nil"/>
          <w:left w:val="nil"/>
          <w:bottom w:val="nil"/>
          <w:right w:val="nil"/>
          <w:between w:val="nil"/>
        </w:pBdr>
        <w:tabs>
          <w:tab w:val="left" w:pos="450"/>
          <w:tab w:val="left" w:pos="9892"/>
        </w:tabs>
        <w:spacing w:after="120" w:line="360" w:lineRule="auto"/>
        <w:jc w:val="both"/>
        <w:rPr>
          <w:rFonts w:ascii="Arial" w:eastAsia="Arial" w:hAnsi="Arial" w:cs="Arial"/>
          <w:color w:val="010000"/>
          <w:sz w:val="20"/>
          <w:szCs w:val="20"/>
        </w:rPr>
      </w:pPr>
      <w:r w:rsidRPr="005C01E1">
        <w:rPr>
          <w:rFonts w:ascii="Arial" w:hAnsi="Arial" w:cs="Arial"/>
          <w:color w:val="010000"/>
          <w:sz w:val="20"/>
        </w:rPr>
        <w:t>The General Meeting approves the Financial Statements 2023 audited by A&amp;C Auditing and Consulting Company Limited.</w:t>
      </w:r>
    </w:p>
    <w:p w14:paraId="69FF177E" w14:textId="77777777" w:rsidR="00D5195D" w:rsidRPr="005C01E1" w:rsidRDefault="00941EAA" w:rsidP="004A4686">
      <w:pPr>
        <w:pBdr>
          <w:top w:val="nil"/>
          <w:left w:val="nil"/>
          <w:bottom w:val="nil"/>
          <w:right w:val="nil"/>
          <w:between w:val="nil"/>
        </w:pBdr>
        <w:tabs>
          <w:tab w:val="left" w:pos="450"/>
          <w:tab w:val="left" w:pos="9892"/>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5: Select an independent audit company for the fiscal year 2024</w:t>
      </w:r>
    </w:p>
    <w:p w14:paraId="7A35237F" w14:textId="1429BA1D" w:rsidR="00D5195D" w:rsidRPr="005C01E1" w:rsidRDefault="00941EAA" w:rsidP="004A4686">
      <w:pPr>
        <w:pBdr>
          <w:top w:val="nil"/>
          <w:left w:val="nil"/>
          <w:bottom w:val="nil"/>
          <w:right w:val="nil"/>
          <w:between w:val="nil"/>
        </w:pBdr>
        <w:tabs>
          <w:tab w:val="left" w:pos="450"/>
          <w:tab w:val="left" w:pos="9892"/>
        </w:tabs>
        <w:spacing w:after="120" w:line="360" w:lineRule="auto"/>
        <w:jc w:val="both"/>
        <w:rPr>
          <w:rFonts w:ascii="Arial" w:eastAsia="Arial" w:hAnsi="Arial" w:cs="Arial"/>
          <w:color w:val="010000"/>
          <w:sz w:val="20"/>
          <w:szCs w:val="20"/>
        </w:rPr>
      </w:pPr>
      <w:r w:rsidRPr="005C01E1">
        <w:rPr>
          <w:rFonts w:ascii="Arial" w:hAnsi="Arial" w:cs="Arial"/>
          <w:color w:val="010000"/>
          <w:sz w:val="20"/>
        </w:rPr>
        <w:t>The General Meeting approves the list of independent audit companies for the fiscal year 2024 including 04 audit companies operating in Vietnam as follows:</w:t>
      </w:r>
    </w:p>
    <w:p w14:paraId="639FC076" w14:textId="77777777" w:rsidR="00D5195D" w:rsidRPr="005C01E1" w:rsidRDefault="00941EAA" w:rsidP="004A4686">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5C01E1">
        <w:rPr>
          <w:rFonts w:ascii="Arial" w:hAnsi="Arial" w:cs="Arial"/>
          <w:color w:val="010000"/>
          <w:sz w:val="20"/>
        </w:rPr>
        <w:t>A&amp;C Auditing and Consulting Company Limited</w:t>
      </w:r>
    </w:p>
    <w:p w14:paraId="02A75C7E" w14:textId="77777777" w:rsidR="00D5195D" w:rsidRPr="005C01E1" w:rsidRDefault="00941EAA" w:rsidP="004A4686">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5C01E1">
        <w:rPr>
          <w:rFonts w:ascii="Arial" w:hAnsi="Arial" w:cs="Arial"/>
          <w:color w:val="010000"/>
          <w:sz w:val="20"/>
        </w:rPr>
        <w:t>Deloitte Vietnam Audit Company Limited</w:t>
      </w:r>
    </w:p>
    <w:p w14:paraId="6993F748" w14:textId="77777777" w:rsidR="00D5195D" w:rsidRPr="005C01E1" w:rsidRDefault="00941EAA" w:rsidP="004A4686">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5C01E1">
        <w:rPr>
          <w:rFonts w:ascii="Arial" w:hAnsi="Arial" w:cs="Arial"/>
          <w:color w:val="010000"/>
          <w:sz w:val="20"/>
        </w:rPr>
        <w:t>PwC (Vietnam) Limited;</w:t>
      </w:r>
    </w:p>
    <w:p w14:paraId="6C82771F" w14:textId="77777777" w:rsidR="00D5195D" w:rsidRPr="005C01E1" w:rsidRDefault="00941EAA" w:rsidP="004A4686">
      <w:pPr>
        <w:numPr>
          <w:ilvl w:val="0"/>
          <w:numId w:val="1"/>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5C01E1">
        <w:rPr>
          <w:rFonts w:ascii="Arial" w:hAnsi="Arial" w:cs="Arial"/>
          <w:color w:val="010000"/>
          <w:sz w:val="20"/>
        </w:rPr>
        <w:t>Grant Thornton (Vietnam) Limited;</w:t>
      </w:r>
    </w:p>
    <w:p w14:paraId="6420DBAB" w14:textId="3CD7ECF1"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lastRenderedPageBreak/>
        <w:t xml:space="preserve">The </w:t>
      </w:r>
      <w:r w:rsidR="004A4686">
        <w:rPr>
          <w:rFonts w:ascii="Arial" w:hAnsi="Arial" w:cs="Arial"/>
          <w:color w:val="010000"/>
          <w:sz w:val="20"/>
        </w:rPr>
        <w:t>General Meeting</w:t>
      </w:r>
      <w:r w:rsidRPr="005C01E1">
        <w:rPr>
          <w:rFonts w:ascii="Arial" w:hAnsi="Arial" w:cs="Arial"/>
          <w:color w:val="010000"/>
          <w:sz w:val="20"/>
        </w:rPr>
        <w:t xml:space="preserve"> assigns the Chair of the Board of Directors to decide on the selection of 01 out of 04 audit companies in the above list according to the proposal of the Supervisory Board to audit the Financial Statements of the Company in the fiscal year 2024 and assigns the General Manager to be in charge of signi</w:t>
      </w:r>
      <w:r w:rsidR="00C33BF9" w:rsidRPr="005C01E1">
        <w:rPr>
          <w:rFonts w:ascii="Arial" w:hAnsi="Arial" w:cs="Arial"/>
          <w:color w:val="010000"/>
          <w:sz w:val="20"/>
        </w:rPr>
        <w:t>ng contracts to provide audit</w:t>
      </w:r>
      <w:r w:rsidRPr="005C01E1">
        <w:rPr>
          <w:rFonts w:ascii="Arial" w:hAnsi="Arial" w:cs="Arial"/>
          <w:color w:val="010000"/>
          <w:sz w:val="20"/>
        </w:rPr>
        <w:t xml:space="preserve"> services with the selected audit company.</w:t>
      </w:r>
    </w:p>
    <w:p w14:paraId="5B980F41" w14:textId="1483BF36"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6: Ap</w:t>
      </w:r>
      <w:r w:rsidR="004A4686">
        <w:rPr>
          <w:rFonts w:ascii="Arial" w:hAnsi="Arial" w:cs="Arial"/>
          <w:color w:val="010000"/>
          <w:sz w:val="20"/>
        </w:rPr>
        <w:t>prove the business and dividend</w:t>
      </w:r>
      <w:r w:rsidRPr="005C01E1">
        <w:rPr>
          <w:rFonts w:ascii="Arial" w:hAnsi="Arial" w:cs="Arial"/>
          <w:color w:val="010000"/>
          <w:sz w:val="20"/>
        </w:rPr>
        <w:t xml:space="preserve"> plan in 2024;</w:t>
      </w:r>
    </w:p>
    <w:p w14:paraId="738E0C2C" w14:textId="1FD5B4A4"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The General Meeting approves the expected plan on revenue, profit, and dividends in 2024 (consolidated) of the Company according to Vietnam Accounting Standards as follows: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5"/>
        <w:gridCol w:w="4885"/>
        <w:gridCol w:w="3466"/>
      </w:tblGrid>
      <w:tr w:rsidR="00D5195D" w:rsidRPr="005C01E1" w14:paraId="0CB946C8" w14:textId="77777777" w:rsidTr="00D847E8">
        <w:tc>
          <w:tcPr>
            <w:tcW w:w="369" w:type="pct"/>
            <w:shd w:val="clear" w:color="auto" w:fill="auto"/>
            <w:tcMar>
              <w:top w:w="0" w:type="dxa"/>
              <w:bottom w:w="0" w:type="dxa"/>
            </w:tcMar>
            <w:vAlign w:val="center"/>
          </w:tcPr>
          <w:p w14:paraId="2B75F2D7"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No.</w:t>
            </w:r>
          </w:p>
        </w:tc>
        <w:tc>
          <w:tcPr>
            <w:tcW w:w="2709" w:type="pct"/>
            <w:shd w:val="clear" w:color="auto" w:fill="auto"/>
            <w:tcMar>
              <w:top w:w="0" w:type="dxa"/>
              <w:bottom w:w="0" w:type="dxa"/>
            </w:tcMar>
            <w:vAlign w:val="center"/>
          </w:tcPr>
          <w:p w14:paraId="66F1E983"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 xml:space="preserve">Targets </w:t>
            </w:r>
          </w:p>
        </w:tc>
        <w:tc>
          <w:tcPr>
            <w:tcW w:w="1922" w:type="pct"/>
            <w:shd w:val="clear" w:color="auto" w:fill="auto"/>
            <w:tcMar>
              <w:top w:w="0" w:type="dxa"/>
              <w:bottom w:w="0" w:type="dxa"/>
            </w:tcMar>
            <w:vAlign w:val="center"/>
          </w:tcPr>
          <w:p w14:paraId="69982466"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Plan 2024</w:t>
            </w:r>
          </w:p>
        </w:tc>
      </w:tr>
      <w:tr w:rsidR="00D5195D" w:rsidRPr="005C01E1" w14:paraId="4CF29CE2" w14:textId="77777777" w:rsidTr="00D847E8">
        <w:tc>
          <w:tcPr>
            <w:tcW w:w="369" w:type="pct"/>
            <w:shd w:val="clear" w:color="auto" w:fill="auto"/>
            <w:tcMar>
              <w:top w:w="0" w:type="dxa"/>
              <w:bottom w:w="0" w:type="dxa"/>
            </w:tcMar>
            <w:vAlign w:val="center"/>
          </w:tcPr>
          <w:p w14:paraId="3ADD2572"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1</w:t>
            </w:r>
          </w:p>
        </w:tc>
        <w:tc>
          <w:tcPr>
            <w:tcW w:w="2709" w:type="pct"/>
            <w:shd w:val="clear" w:color="auto" w:fill="auto"/>
            <w:tcMar>
              <w:top w:w="0" w:type="dxa"/>
              <w:bottom w:w="0" w:type="dxa"/>
            </w:tcMar>
            <w:vAlign w:val="center"/>
          </w:tcPr>
          <w:p w14:paraId="50F2687F"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Net revenue from goods sales and service provision</w:t>
            </w:r>
          </w:p>
        </w:tc>
        <w:tc>
          <w:tcPr>
            <w:tcW w:w="1922" w:type="pct"/>
            <w:shd w:val="clear" w:color="auto" w:fill="auto"/>
            <w:tcMar>
              <w:top w:w="0" w:type="dxa"/>
              <w:bottom w:w="0" w:type="dxa"/>
            </w:tcMar>
            <w:vAlign w:val="center"/>
          </w:tcPr>
          <w:p w14:paraId="7E9FA10E"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845,000,000,000</w:t>
            </w:r>
          </w:p>
        </w:tc>
      </w:tr>
      <w:tr w:rsidR="00D5195D" w:rsidRPr="005C01E1" w14:paraId="35AF1FCA" w14:textId="77777777" w:rsidTr="00D847E8">
        <w:tc>
          <w:tcPr>
            <w:tcW w:w="369" w:type="pct"/>
            <w:shd w:val="clear" w:color="auto" w:fill="auto"/>
            <w:tcMar>
              <w:top w:w="0" w:type="dxa"/>
              <w:bottom w:w="0" w:type="dxa"/>
            </w:tcMar>
            <w:vAlign w:val="center"/>
          </w:tcPr>
          <w:p w14:paraId="12795B41"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2</w:t>
            </w:r>
          </w:p>
        </w:tc>
        <w:tc>
          <w:tcPr>
            <w:tcW w:w="2709" w:type="pct"/>
            <w:shd w:val="clear" w:color="auto" w:fill="auto"/>
            <w:tcMar>
              <w:top w:w="0" w:type="dxa"/>
              <w:bottom w:w="0" w:type="dxa"/>
            </w:tcMar>
            <w:vAlign w:val="center"/>
          </w:tcPr>
          <w:p w14:paraId="54AE7539"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Profit after tax</w:t>
            </w:r>
          </w:p>
        </w:tc>
        <w:tc>
          <w:tcPr>
            <w:tcW w:w="1922" w:type="pct"/>
            <w:shd w:val="clear" w:color="auto" w:fill="auto"/>
            <w:tcMar>
              <w:top w:w="0" w:type="dxa"/>
              <w:bottom w:w="0" w:type="dxa"/>
            </w:tcMar>
            <w:vAlign w:val="center"/>
          </w:tcPr>
          <w:p w14:paraId="43D3F6C8"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 xml:space="preserve">57,000,000,000 </w:t>
            </w:r>
          </w:p>
        </w:tc>
      </w:tr>
      <w:tr w:rsidR="00D5195D" w:rsidRPr="005C01E1" w14:paraId="6222642B" w14:textId="77777777" w:rsidTr="00D847E8">
        <w:tc>
          <w:tcPr>
            <w:tcW w:w="369" w:type="pct"/>
            <w:shd w:val="clear" w:color="auto" w:fill="auto"/>
            <w:tcMar>
              <w:top w:w="0" w:type="dxa"/>
              <w:bottom w:w="0" w:type="dxa"/>
            </w:tcMar>
            <w:vAlign w:val="center"/>
          </w:tcPr>
          <w:p w14:paraId="1A6346A7"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3</w:t>
            </w:r>
          </w:p>
        </w:tc>
        <w:tc>
          <w:tcPr>
            <w:tcW w:w="2709" w:type="pct"/>
            <w:shd w:val="clear" w:color="auto" w:fill="auto"/>
            <w:tcMar>
              <w:top w:w="0" w:type="dxa"/>
              <w:bottom w:w="0" w:type="dxa"/>
            </w:tcMar>
            <w:vAlign w:val="center"/>
          </w:tcPr>
          <w:p w14:paraId="6D9A25F8"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Expected dividend</w:t>
            </w:r>
          </w:p>
        </w:tc>
        <w:tc>
          <w:tcPr>
            <w:tcW w:w="1922" w:type="pct"/>
            <w:shd w:val="clear" w:color="auto" w:fill="auto"/>
            <w:tcMar>
              <w:top w:w="0" w:type="dxa"/>
              <w:bottom w:w="0" w:type="dxa"/>
            </w:tcMar>
            <w:vAlign w:val="center"/>
          </w:tcPr>
          <w:p w14:paraId="4DAF88DD" w14:textId="77777777" w:rsidR="00D5195D" w:rsidRPr="005C01E1" w:rsidRDefault="00941EAA" w:rsidP="00D847E8">
            <w:pPr>
              <w:pBdr>
                <w:top w:val="nil"/>
                <w:left w:val="nil"/>
                <w:bottom w:val="nil"/>
                <w:right w:val="nil"/>
                <w:between w:val="nil"/>
              </w:pBdr>
              <w:tabs>
                <w:tab w:val="left" w:pos="450"/>
              </w:tabs>
              <w:spacing w:after="120" w:line="360" w:lineRule="auto"/>
              <w:jc w:val="center"/>
              <w:rPr>
                <w:rFonts w:ascii="Arial" w:eastAsia="Arial" w:hAnsi="Arial" w:cs="Arial"/>
                <w:color w:val="010000"/>
                <w:sz w:val="20"/>
                <w:szCs w:val="20"/>
              </w:rPr>
            </w:pPr>
            <w:r w:rsidRPr="005C01E1">
              <w:rPr>
                <w:rFonts w:ascii="Arial" w:hAnsi="Arial" w:cs="Arial"/>
                <w:color w:val="010000"/>
                <w:sz w:val="20"/>
              </w:rPr>
              <w:t>VND 1,200/share</w:t>
            </w:r>
          </w:p>
        </w:tc>
      </w:tr>
    </w:tbl>
    <w:p w14:paraId="5C69B650"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7: Approve the Report on remuneration for the Board of Directors, the Supervisory Board in 2023 and the Plan on remuneration for the Board of Directors, the Supervisory Board for 2024.</w:t>
      </w:r>
    </w:p>
    <w:p w14:paraId="5E83FC18" w14:textId="6B370F6D"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 xml:space="preserve">The </w:t>
      </w:r>
      <w:r w:rsidR="004A4686">
        <w:rPr>
          <w:rFonts w:ascii="Arial" w:hAnsi="Arial" w:cs="Arial"/>
          <w:color w:val="010000"/>
          <w:sz w:val="20"/>
        </w:rPr>
        <w:t>General Meeting</w:t>
      </w:r>
      <w:r w:rsidRPr="005C01E1">
        <w:rPr>
          <w:rFonts w:ascii="Arial" w:hAnsi="Arial" w:cs="Arial"/>
          <w:color w:val="010000"/>
          <w:sz w:val="20"/>
        </w:rPr>
        <w:t xml:space="preserve"> approves the paid remuneration in 2023 of VND 708 million. </w:t>
      </w:r>
    </w:p>
    <w:p w14:paraId="086B072E" w14:textId="53EA7BCA"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 xml:space="preserve">The </w:t>
      </w:r>
      <w:r w:rsidR="004A4686">
        <w:rPr>
          <w:rFonts w:ascii="Arial" w:hAnsi="Arial" w:cs="Arial"/>
          <w:color w:val="010000"/>
          <w:sz w:val="20"/>
        </w:rPr>
        <w:t>General Meeting</w:t>
      </w:r>
      <w:r w:rsidRPr="005C01E1">
        <w:rPr>
          <w:rFonts w:ascii="Arial" w:hAnsi="Arial" w:cs="Arial"/>
          <w:color w:val="010000"/>
          <w:sz w:val="20"/>
        </w:rPr>
        <w:t xml:space="preserve"> approves the remuneration in 2024 of VND 820 million</w:t>
      </w:r>
    </w:p>
    <w:p w14:paraId="0CFF16C1" w14:textId="77777777" w:rsidR="00D5195D" w:rsidRPr="005C01E1" w:rsidRDefault="00941EAA" w:rsidP="004A4686">
      <w:pPr>
        <w:pBdr>
          <w:top w:val="nil"/>
          <w:left w:val="nil"/>
          <w:bottom w:val="nil"/>
          <w:right w:val="nil"/>
          <w:between w:val="nil"/>
        </w:pBdr>
        <w:tabs>
          <w:tab w:val="left" w:pos="450"/>
          <w:tab w:val="left" w:pos="4896"/>
        </w:tabs>
        <w:spacing w:after="120" w:line="360" w:lineRule="auto"/>
        <w:jc w:val="both"/>
        <w:rPr>
          <w:rFonts w:ascii="Arial" w:eastAsia="Arial" w:hAnsi="Arial" w:cs="Arial"/>
          <w:color w:val="010000"/>
          <w:sz w:val="20"/>
          <w:szCs w:val="20"/>
        </w:rPr>
      </w:pPr>
      <w:r w:rsidRPr="005C01E1">
        <w:rPr>
          <w:rFonts w:ascii="Arial" w:hAnsi="Arial" w:cs="Arial"/>
          <w:color w:val="010000"/>
          <w:sz w:val="20"/>
        </w:rPr>
        <w:t>Authorize the Chair of the Board of Directors to decide on the allocation of remuneration in 2024 for each member of the Board of Directors and the Supervisory Board.</w:t>
      </w:r>
      <w:r w:rsidRPr="005C01E1">
        <w:rPr>
          <w:rFonts w:ascii="Arial" w:hAnsi="Arial" w:cs="Arial"/>
          <w:color w:val="010000"/>
          <w:sz w:val="20"/>
        </w:rPr>
        <w:tab/>
      </w:r>
    </w:p>
    <w:p w14:paraId="31188F94"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8: Approve the profit distribution plan in 2023.</w:t>
      </w:r>
    </w:p>
    <w:p w14:paraId="1648F3B7" w14:textId="25F28A7E"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 xml:space="preserve">The </w:t>
      </w:r>
      <w:r w:rsidR="004A4686">
        <w:rPr>
          <w:rFonts w:ascii="Arial" w:hAnsi="Arial" w:cs="Arial"/>
          <w:color w:val="010000"/>
          <w:sz w:val="20"/>
        </w:rPr>
        <w:t>General Meeting</w:t>
      </w:r>
      <w:r w:rsidRPr="005C01E1">
        <w:rPr>
          <w:rFonts w:ascii="Arial" w:hAnsi="Arial" w:cs="Arial"/>
          <w:color w:val="010000"/>
          <w:sz w:val="20"/>
        </w:rPr>
        <w:t xml:space="preserve"> approves the profit distribution plan in 2023 as follows:</w:t>
      </w:r>
    </w:p>
    <w:p w14:paraId="07BA69E2" w14:textId="77777777" w:rsidR="00D5195D" w:rsidRPr="005C01E1" w:rsidRDefault="00941EAA" w:rsidP="004A4686">
      <w:pPr>
        <w:numPr>
          <w:ilvl w:val="0"/>
          <w:numId w:val="2"/>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5C01E1">
        <w:rPr>
          <w:rFonts w:ascii="Arial" w:hAnsi="Arial" w:cs="Arial"/>
          <w:color w:val="010000"/>
          <w:sz w:val="20"/>
        </w:rPr>
        <w:t>Pay dividends in cash: VND 1,200/share</w:t>
      </w:r>
    </w:p>
    <w:p w14:paraId="157CB1A3" w14:textId="77777777" w:rsidR="00D5195D" w:rsidRPr="005C01E1" w:rsidRDefault="00941EAA" w:rsidP="004A4686">
      <w:pPr>
        <w:numPr>
          <w:ilvl w:val="0"/>
          <w:numId w:val="2"/>
        </w:numPr>
        <w:pBdr>
          <w:top w:val="nil"/>
          <w:left w:val="nil"/>
          <w:bottom w:val="nil"/>
          <w:right w:val="nil"/>
          <w:between w:val="nil"/>
        </w:pBdr>
        <w:tabs>
          <w:tab w:val="left" w:pos="450"/>
        </w:tabs>
        <w:spacing w:after="120" w:line="360" w:lineRule="auto"/>
        <w:ind w:left="0" w:firstLine="0"/>
        <w:jc w:val="both"/>
        <w:rPr>
          <w:rFonts w:ascii="Arial" w:eastAsia="Arial" w:hAnsi="Arial" w:cs="Arial"/>
          <w:color w:val="010000"/>
          <w:sz w:val="20"/>
          <w:szCs w:val="20"/>
        </w:rPr>
      </w:pPr>
      <w:r w:rsidRPr="005C01E1">
        <w:rPr>
          <w:rFonts w:ascii="Arial" w:hAnsi="Arial" w:cs="Arial"/>
          <w:color w:val="010000"/>
          <w:sz w:val="20"/>
        </w:rPr>
        <w:t>Appropriation for bonus and welfare fund: 3% of profit after tax of the Company.</w:t>
      </w:r>
    </w:p>
    <w:p w14:paraId="6BB765F8"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9: Approve the adjustment of business lines.</w:t>
      </w:r>
    </w:p>
    <w:p w14:paraId="75CFDE4A" w14:textId="797EE714"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 xml:space="preserve">Article 10: Approve the election of members of the Board of Directors and the Supervisory Board for the 2024-2029 term. The </w:t>
      </w:r>
      <w:r w:rsidR="004A4686">
        <w:rPr>
          <w:rFonts w:ascii="Arial" w:hAnsi="Arial" w:cs="Arial"/>
          <w:color w:val="010000"/>
          <w:sz w:val="20"/>
        </w:rPr>
        <w:t>General Meeting</w:t>
      </w:r>
      <w:r w:rsidRPr="005C01E1">
        <w:rPr>
          <w:rFonts w:ascii="Arial" w:hAnsi="Arial" w:cs="Arial"/>
          <w:color w:val="010000"/>
          <w:sz w:val="20"/>
        </w:rPr>
        <w:t xml:space="preserve"> elected members of the Board of Directors and the Supervisory Board for the 2024-2029 term as follows:</w:t>
      </w:r>
    </w:p>
    <w:p w14:paraId="428FBF2F"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The list of candidates elected as members of the Board of Directors for the 2024-2029 term</w:t>
      </w:r>
    </w:p>
    <w:p w14:paraId="1FA6431F" w14:textId="445C3F5B"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 xml:space="preserve">Ms. Nguyen </w:t>
      </w:r>
      <w:r w:rsidR="005C01E1" w:rsidRPr="005C01E1">
        <w:rPr>
          <w:rFonts w:ascii="Arial" w:hAnsi="Arial" w:cs="Arial"/>
          <w:color w:val="010000"/>
          <w:sz w:val="20"/>
        </w:rPr>
        <w:t>Minh</w:t>
      </w:r>
      <w:r w:rsidRPr="005C01E1">
        <w:rPr>
          <w:rFonts w:ascii="Arial" w:hAnsi="Arial" w:cs="Arial"/>
          <w:color w:val="010000"/>
          <w:sz w:val="20"/>
        </w:rPr>
        <w:t xml:space="preserve"> Nguyet</w:t>
      </w:r>
    </w:p>
    <w:p w14:paraId="4869B5F5" w14:textId="77777777"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Mr. Truong Van Quang</w:t>
      </w:r>
    </w:p>
    <w:p w14:paraId="1A764C9A" w14:textId="77777777"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Ms. Susan Ho</w:t>
      </w:r>
    </w:p>
    <w:p w14:paraId="47656631" w14:textId="77777777"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Mr. David Ho</w:t>
      </w:r>
    </w:p>
    <w:p w14:paraId="180E5320" w14:textId="77777777"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Mr. Huynh Khanh Hieu</w:t>
      </w:r>
    </w:p>
    <w:p w14:paraId="7897A69F" w14:textId="77777777"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Mr. Tran Quang Phu</w:t>
      </w:r>
    </w:p>
    <w:p w14:paraId="6CE02436" w14:textId="77777777"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lastRenderedPageBreak/>
        <w:t>Ms. Kim Ngoc Nguyen</w:t>
      </w:r>
    </w:p>
    <w:p w14:paraId="6DDA0E98"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The list of candidates elected as members of the Supervisory Board for the 2024-2029 term</w:t>
      </w:r>
    </w:p>
    <w:p w14:paraId="616EDB79" w14:textId="77777777"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Ms. Vu Thi Minh Chien</w:t>
      </w:r>
    </w:p>
    <w:p w14:paraId="74E68D57" w14:textId="77777777"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Ms. Tran Thanh Huong</w:t>
      </w:r>
    </w:p>
    <w:p w14:paraId="4BC94162" w14:textId="77777777" w:rsidR="00D5195D" w:rsidRPr="005C01E1" w:rsidRDefault="00941EAA" w:rsidP="004A4686">
      <w:pPr>
        <w:numPr>
          <w:ilvl w:val="0"/>
          <w:numId w:val="3"/>
        </w:numPr>
        <w:pBdr>
          <w:top w:val="nil"/>
          <w:left w:val="nil"/>
          <w:bottom w:val="nil"/>
          <w:right w:val="nil"/>
          <w:between w:val="nil"/>
        </w:pBdr>
        <w:tabs>
          <w:tab w:val="left" w:pos="261"/>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Ms. To Le Minh</w:t>
      </w:r>
    </w:p>
    <w:p w14:paraId="02DE3355" w14:textId="77777777"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Article 11: This General Mandate takes effect from the date of its signing.</w:t>
      </w:r>
    </w:p>
    <w:p w14:paraId="2163F87B" w14:textId="76395A5D" w:rsidR="00D5195D" w:rsidRPr="005C01E1" w:rsidRDefault="00941EAA" w:rsidP="004A4686">
      <w:pPr>
        <w:pBdr>
          <w:top w:val="nil"/>
          <w:left w:val="nil"/>
          <w:bottom w:val="nil"/>
          <w:right w:val="nil"/>
          <w:between w:val="nil"/>
        </w:pBdr>
        <w:tabs>
          <w:tab w:val="left" w:pos="450"/>
        </w:tabs>
        <w:spacing w:after="120" w:line="360" w:lineRule="auto"/>
        <w:jc w:val="both"/>
        <w:rPr>
          <w:rFonts w:ascii="Arial" w:eastAsia="Arial" w:hAnsi="Arial" w:cs="Arial"/>
          <w:color w:val="010000"/>
          <w:sz w:val="20"/>
          <w:szCs w:val="20"/>
        </w:rPr>
      </w:pPr>
      <w:r w:rsidRPr="005C01E1">
        <w:rPr>
          <w:rFonts w:ascii="Arial" w:hAnsi="Arial" w:cs="Arial"/>
          <w:color w:val="010000"/>
          <w:sz w:val="20"/>
        </w:rPr>
        <w:t>Shareholders, the Board of Directors</w:t>
      </w:r>
      <w:r w:rsidR="004A4686">
        <w:rPr>
          <w:rFonts w:ascii="Arial" w:hAnsi="Arial" w:cs="Arial"/>
          <w:color w:val="010000"/>
          <w:sz w:val="20"/>
        </w:rPr>
        <w:t xml:space="preserve">, </w:t>
      </w:r>
      <w:bookmarkStart w:id="0" w:name="_GoBack"/>
      <w:bookmarkEnd w:id="0"/>
      <w:r w:rsidR="004A4686">
        <w:rPr>
          <w:rFonts w:ascii="Arial" w:hAnsi="Arial" w:cs="Arial"/>
          <w:color w:val="010000"/>
          <w:sz w:val="20"/>
        </w:rPr>
        <w:t>Managing Director</w:t>
      </w:r>
      <w:r w:rsidRPr="005C01E1">
        <w:rPr>
          <w:rFonts w:ascii="Arial" w:hAnsi="Arial" w:cs="Arial"/>
          <w:color w:val="010000"/>
          <w:sz w:val="20"/>
        </w:rPr>
        <w:t xml:space="preserve"> and relevant individuals are responsible for implementing this General Mandate.</w:t>
      </w:r>
    </w:p>
    <w:sectPr w:rsidR="00D5195D" w:rsidRPr="005C01E1" w:rsidSect="00D847E8">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D762D"/>
    <w:multiLevelType w:val="multilevel"/>
    <w:tmpl w:val="843C5DAC"/>
    <w:lvl w:ilvl="0">
      <w:start w:val="1"/>
      <w:numFmt w:val="bullet"/>
      <w:lvlText w:val="+"/>
      <w:lvlJc w:val="left"/>
      <w:pPr>
        <w:ind w:left="1080" w:hanging="360"/>
      </w:pPr>
      <w:rPr>
        <w:rFonts w:ascii="Noto Sans Symbols" w:eastAsia="Noto Sans Symbols" w:hAnsi="Noto Sans Symbols" w:cs="Noto Sans Symbols"/>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71C4537"/>
    <w:multiLevelType w:val="multilevel"/>
    <w:tmpl w:val="4C5009B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17A791A"/>
    <w:multiLevelType w:val="multilevel"/>
    <w:tmpl w:val="4E16F40C"/>
    <w:lvl w:ilvl="0">
      <w:numFmt w:val="bullet"/>
      <w:lvlText w:val="-"/>
      <w:lvlJc w:val="left"/>
      <w:pPr>
        <w:ind w:left="720" w:hanging="360"/>
      </w:pPr>
      <w:rPr>
        <w:rFonts w:ascii="Times New Roman" w:eastAsia="Times New Roman" w:hAnsi="Times New Roman" w:cs="Times New Roman"/>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5D"/>
    <w:rsid w:val="004A4686"/>
    <w:rsid w:val="005C01E1"/>
    <w:rsid w:val="006460E4"/>
    <w:rsid w:val="0074142F"/>
    <w:rsid w:val="00941EAA"/>
    <w:rsid w:val="00C33BF9"/>
    <w:rsid w:val="00D5195D"/>
    <w:rsid w:val="00D847E8"/>
    <w:rsid w:val="00EE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53DB0"/>
  <w15:docId w15:val="{DF3F0AE3-BFAB-4418-BBC4-4EFC4BC3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36"/>
      <w:szCs w:val="3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line="262" w:lineRule="auto"/>
    </w:pPr>
    <w:rPr>
      <w:rFonts w:ascii="Times New Roman" w:eastAsia="Times New Roman" w:hAnsi="Times New Roman" w:cs="Times New Roman"/>
      <w:sz w:val="22"/>
      <w:szCs w:val="22"/>
    </w:rPr>
  </w:style>
  <w:style w:type="paragraph" w:customStyle="1" w:styleId="Heading11">
    <w:name w:val="Heading #1"/>
    <w:basedOn w:val="Normal"/>
    <w:link w:val="Heading10"/>
    <w:pPr>
      <w:ind w:left="2340" w:firstLine="160"/>
      <w:outlineLvl w:val="0"/>
    </w:pPr>
    <w:rPr>
      <w:rFonts w:ascii="Times New Roman" w:eastAsia="Times New Roman" w:hAnsi="Times New Roman" w:cs="Times New Roman"/>
      <w:sz w:val="36"/>
      <w:szCs w:val="36"/>
    </w:rPr>
  </w:style>
  <w:style w:type="paragraph" w:customStyle="1" w:styleId="Heading21">
    <w:name w:val="Heading #2"/>
    <w:basedOn w:val="Normal"/>
    <w:link w:val="Heading20"/>
    <w:pPr>
      <w:ind w:left="3700"/>
      <w:outlineLvl w:val="1"/>
    </w:pPr>
    <w:rPr>
      <w:rFonts w:ascii="Times New Roman" w:eastAsia="Times New Roman" w:hAnsi="Times New Roman" w:cs="Times New Roman"/>
      <w:b/>
      <w:bCs/>
      <w:sz w:val="30"/>
      <w:szCs w:val="30"/>
    </w:rPr>
  </w:style>
  <w:style w:type="paragraph" w:customStyle="1" w:styleId="Tableofcontents0">
    <w:name w:val="Table of contents"/>
    <w:basedOn w:val="Normal"/>
    <w:link w:val="Tableofcontents"/>
    <w:rPr>
      <w:rFonts w:ascii="Times New Roman" w:eastAsia="Times New Roman" w:hAnsi="Times New Roman" w:cs="Times New Roman"/>
      <w:sz w:val="22"/>
      <w:szCs w:val="22"/>
    </w:rPr>
  </w:style>
  <w:style w:type="paragraph" w:customStyle="1" w:styleId="Other0">
    <w:name w:val="Other"/>
    <w:basedOn w:val="Normal"/>
    <w:link w:val="Other"/>
    <w:pPr>
      <w:spacing w:line="262" w:lineRule="auto"/>
    </w:pPr>
    <w:rPr>
      <w:rFonts w:ascii="Times New Roman" w:eastAsia="Times New Roman" w:hAnsi="Times New Roman" w:cs="Times New Roman"/>
      <w:sz w:val="22"/>
      <w:szCs w:val="22"/>
    </w:rPr>
  </w:style>
  <w:style w:type="paragraph" w:customStyle="1" w:styleId="Heading31">
    <w:name w:val="Heading #3"/>
    <w:basedOn w:val="Normal"/>
    <w:link w:val="Heading30"/>
    <w:pPr>
      <w:jc w:val="right"/>
      <w:outlineLvl w:val="2"/>
    </w:pPr>
    <w:rPr>
      <w:rFonts w:ascii="Times New Roman" w:eastAsia="Times New Roman" w:hAnsi="Times New Roman" w:cs="Times New Roman"/>
      <w:b/>
      <w:bCs/>
      <w:sz w:val="26"/>
      <w:szCs w:val="26"/>
    </w:rPr>
  </w:style>
  <w:style w:type="paragraph" w:styleId="NormalWeb">
    <w:name w:val="Normal (Web)"/>
    <w:basedOn w:val="Normal"/>
    <w:uiPriority w:val="99"/>
    <w:semiHidden/>
    <w:unhideWhenUsed/>
    <w:rsid w:val="00810D98"/>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uvZPZvTCPo4AXzvVgebr0fS/g==">CgMxLjA4AHIhMXhSc0tkUWpkVXYxc1loQm9PMVN5Y0VSZ2NLMFA2TXAz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2024-05-29T03:00:00Z</dcterms:created>
  <dcterms:modified xsi:type="dcterms:W3CDTF">2024-05-29T03:00:00Z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5b275a69a5493c840b890e30683bc638b7b9b0fcd04cbe5a31a2234055dd810a</vt:lpwstr>
  </property>
</Properties>
</file>