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8D551B4" w:rsidR="005D609F" w:rsidRPr="007074F0" w:rsidRDefault="00002B3C" w:rsidP="00906349">
      <w:pPr>
        <w:pBdr>
          <w:top w:val="nil"/>
          <w:left w:val="nil"/>
          <w:bottom w:val="nil"/>
          <w:right w:val="nil"/>
          <w:between w:val="nil"/>
        </w:pBdr>
        <w:shd w:val="clear" w:color="auto" w:fill="FFFFFF"/>
        <w:spacing w:after="120" w:line="360" w:lineRule="auto"/>
        <w:rPr>
          <w:rFonts w:ascii="Arial" w:eastAsia="Arial" w:hAnsi="Arial" w:cs="Arial"/>
          <w:b/>
          <w:color w:val="010000"/>
          <w:sz w:val="20"/>
          <w:szCs w:val="20"/>
        </w:rPr>
      </w:pPr>
      <w:r w:rsidRPr="007074F0">
        <w:rPr>
          <w:rFonts w:ascii="Arial" w:hAnsi="Arial" w:cs="Arial"/>
          <w:b/>
          <w:color w:val="010000"/>
          <w:sz w:val="20"/>
        </w:rPr>
        <w:t xml:space="preserve">VNP: </w:t>
      </w:r>
      <w:r w:rsidR="004218FE" w:rsidRPr="007074F0">
        <w:rPr>
          <w:rFonts w:ascii="Arial" w:hAnsi="Arial" w:cs="Arial"/>
          <w:b/>
          <w:color w:val="010000"/>
          <w:sz w:val="20"/>
        </w:rPr>
        <w:t xml:space="preserve">Annual </w:t>
      </w:r>
      <w:r w:rsidRPr="007074F0">
        <w:rPr>
          <w:rFonts w:ascii="Arial" w:hAnsi="Arial" w:cs="Arial"/>
          <w:b/>
          <w:color w:val="010000"/>
          <w:sz w:val="20"/>
        </w:rPr>
        <w:t>General Mandate 2024</w:t>
      </w:r>
    </w:p>
    <w:p w14:paraId="00000002" w14:textId="2CEEC73B" w:rsidR="005D609F" w:rsidRPr="007074F0" w:rsidRDefault="00002B3C" w:rsidP="00906349">
      <w:pPr>
        <w:pBdr>
          <w:top w:val="nil"/>
          <w:left w:val="nil"/>
          <w:bottom w:val="nil"/>
          <w:right w:val="nil"/>
          <w:between w:val="nil"/>
        </w:pBdr>
        <w:shd w:val="clear" w:color="auto" w:fill="FFFFFF"/>
        <w:spacing w:after="120" w:line="360" w:lineRule="auto"/>
        <w:rPr>
          <w:rFonts w:ascii="Arial" w:eastAsia="Arial" w:hAnsi="Arial" w:cs="Arial"/>
          <w:color w:val="010000"/>
          <w:sz w:val="20"/>
          <w:szCs w:val="20"/>
        </w:rPr>
      </w:pPr>
      <w:r w:rsidRPr="007074F0">
        <w:rPr>
          <w:rFonts w:ascii="Arial" w:hAnsi="Arial" w:cs="Arial"/>
          <w:color w:val="010000"/>
          <w:sz w:val="20"/>
        </w:rPr>
        <w:t xml:space="preserve">On May 23, 2024, Vietnam Plastic Corporation announced </w:t>
      </w:r>
      <w:r w:rsidR="00212357" w:rsidRPr="007074F0">
        <w:rPr>
          <w:rFonts w:ascii="Arial" w:hAnsi="Arial" w:cs="Arial"/>
          <w:color w:val="010000"/>
          <w:sz w:val="20"/>
        </w:rPr>
        <w:t>General Mandate</w:t>
      </w:r>
      <w:r w:rsidRPr="007074F0">
        <w:rPr>
          <w:rFonts w:ascii="Arial" w:hAnsi="Arial" w:cs="Arial"/>
          <w:color w:val="010000"/>
          <w:sz w:val="20"/>
        </w:rPr>
        <w:t xml:space="preserve"> No. 25.24/NQ-NVN-HDQT, as follows:</w:t>
      </w:r>
    </w:p>
    <w:p w14:paraId="00000003" w14:textId="27F7C2D7"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 xml:space="preserve">‎‎Article 1. Approve the General </w:t>
      </w:r>
      <w:r w:rsidR="00212357" w:rsidRPr="007074F0">
        <w:rPr>
          <w:rFonts w:ascii="Arial" w:hAnsi="Arial" w:cs="Arial"/>
          <w:color w:val="010000"/>
          <w:sz w:val="20"/>
        </w:rPr>
        <w:t>Manager</w:t>
      </w:r>
      <w:r w:rsidRPr="007074F0">
        <w:rPr>
          <w:rFonts w:ascii="Arial" w:hAnsi="Arial" w:cs="Arial"/>
          <w:color w:val="010000"/>
          <w:sz w:val="20"/>
        </w:rPr>
        <w:t>'s report on production and business results in 2023 with some key targets as follows:</w:t>
      </w:r>
    </w:p>
    <w:p w14:paraId="00000004" w14:textId="6EFE0645"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Total revenue of the Company: VND 105.01 billion;</w:t>
      </w:r>
    </w:p>
    <w:p w14:paraId="00000005" w14:textId="22436A4C"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Company's net revenue: VND 66.84 billion.</w:t>
      </w:r>
    </w:p>
    <w:p w14:paraId="00000006" w14:textId="4CC42749" w:rsidR="005D609F" w:rsidRPr="007074F0" w:rsidRDefault="00212357"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Profit before tax</w:t>
      </w:r>
      <w:r w:rsidR="00002B3C" w:rsidRPr="007074F0">
        <w:rPr>
          <w:rFonts w:ascii="Arial" w:hAnsi="Arial" w:cs="Arial"/>
          <w:color w:val="010000"/>
          <w:sz w:val="20"/>
        </w:rPr>
        <w:t>: VND 0.17 billion;</w:t>
      </w:r>
    </w:p>
    <w:p w14:paraId="00000007" w14:textId="000CB5D0" w:rsidR="005D609F" w:rsidRPr="007074F0" w:rsidRDefault="00212357"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Profit after tax</w:t>
      </w:r>
      <w:r w:rsidR="00002B3C" w:rsidRPr="007074F0">
        <w:rPr>
          <w:rFonts w:ascii="Arial" w:hAnsi="Arial" w:cs="Arial"/>
          <w:color w:val="010000"/>
          <w:sz w:val="20"/>
        </w:rPr>
        <w:t>: VND 0.11 billion;</w:t>
      </w:r>
    </w:p>
    <w:p w14:paraId="00000008" w14:textId="77777777"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Dividends: 0%</w:t>
      </w:r>
    </w:p>
    <w:p w14:paraId="00000009" w14:textId="2EABE967"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‎‎Article 2. Approve the Repor</w:t>
      </w:r>
      <w:r w:rsidR="00212357" w:rsidRPr="007074F0">
        <w:rPr>
          <w:rFonts w:ascii="Arial" w:hAnsi="Arial" w:cs="Arial"/>
          <w:color w:val="010000"/>
          <w:sz w:val="20"/>
        </w:rPr>
        <w:t xml:space="preserve">t of the Board of Directors on </w:t>
      </w:r>
      <w:r w:rsidR="005F2A44" w:rsidRPr="007074F0">
        <w:rPr>
          <w:rFonts w:ascii="Arial" w:hAnsi="Arial" w:cs="Arial"/>
          <w:color w:val="010000"/>
          <w:sz w:val="20"/>
        </w:rPr>
        <w:t xml:space="preserve">the results of its </w:t>
      </w:r>
      <w:r w:rsidR="00212357" w:rsidRPr="007074F0">
        <w:rPr>
          <w:rFonts w:ascii="Arial" w:hAnsi="Arial" w:cs="Arial"/>
          <w:color w:val="010000"/>
          <w:sz w:val="20"/>
        </w:rPr>
        <w:t>g</w:t>
      </w:r>
      <w:r w:rsidRPr="007074F0">
        <w:rPr>
          <w:rFonts w:ascii="Arial" w:hAnsi="Arial" w:cs="Arial"/>
          <w:color w:val="010000"/>
          <w:sz w:val="20"/>
        </w:rPr>
        <w:t xml:space="preserve">overnance, </w:t>
      </w:r>
      <w:r w:rsidR="005F2A44" w:rsidRPr="007074F0">
        <w:rPr>
          <w:rFonts w:ascii="Arial" w:hAnsi="Arial" w:cs="Arial"/>
          <w:color w:val="010000"/>
          <w:sz w:val="20"/>
        </w:rPr>
        <w:t xml:space="preserve">and </w:t>
      </w:r>
      <w:r w:rsidR="00212357" w:rsidRPr="007074F0">
        <w:rPr>
          <w:rFonts w:ascii="Arial" w:hAnsi="Arial" w:cs="Arial"/>
          <w:color w:val="010000"/>
          <w:sz w:val="20"/>
        </w:rPr>
        <w:t xml:space="preserve">activities </w:t>
      </w:r>
      <w:r w:rsidRPr="007074F0">
        <w:rPr>
          <w:rFonts w:ascii="Arial" w:hAnsi="Arial" w:cs="Arial"/>
          <w:color w:val="010000"/>
          <w:sz w:val="20"/>
        </w:rPr>
        <w:t xml:space="preserve">in 2023, and the </w:t>
      </w:r>
      <w:r w:rsidR="005F2A44" w:rsidRPr="007074F0">
        <w:rPr>
          <w:rFonts w:ascii="Arial" w:hAnsi="Arial" w:cs="Arial"/>
          <w:color w:val="010000"/>
          <w:sz w:val="20"/>
        </w:rPr>
        <w:t>activities orientation</w:t>
      </w:r>
      <w:r w:rsidRPr="007074F0">
        <w:rPr>
          <w:rFonts w:ascii="Arial" w:hAnsi="Arial" w:cs="Arial"/>
          <w:color w:val="010000"/>
          <w:sz w:val="20"/>
        </w:rPr>
        <w:t xml:space="preserve"> in 2024.</w:t>
      </w:r>
    </w:p>
    <w:p w14:paraId="0000000A" w14:textId="77777777"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Article 3. Approve the Report of Supervisory Board in 2023</w:t>
      </w:r>
    </w:p>
    <w:p w14:paraId="0000000B" w14:textId="77777777"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‎‎Article 4. Approve the Audited Financial Statements 2023</w:t>
      </w:r>
    </w:p>
    <w:p w14:paraId="0000000C" w14:textId="77777777" w:rsidR="005D609F" w:rsidRPr="007074F0" w:rsidRDefault="00002B3C" w:rsidP="00906349">
      <w:pPr>
        <w:keepNext/>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‎‎Article 5. Approve the profit distribution plan and appropriation for funds in 2023;</w:t>
      </w:r>
    </w:p>
    <w:p w14:paraId="0000000D" w14:textId="77777777"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The meeting voted to approve the profit distribution plan 2023 as follows:</w:t>
      </w:r>
    </w:p>
    <w:p w14:paraId="0000000E" w14:textId="4F2430B4"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Company's profit</w:t>
      </w:r>
      <w:r w:rsidR="005F2A44" w:rsidRPr="007074F0">
        <w:rPr>
          <w:rFonts w:ascii="Arial" w:hAnsi="Arial" w:cs="Arial"/>
          <w:color w:val="010000"/>
          <w:sz w:val="20"/>
        </w:rPr>
        <w:t xml:space="preserve"> before tax:</w:t>
      </w:r>
      <w:r w:rsidRPr="007074F0">
        <w:rPr>
          <w:rFonts w:ascii="Arial" w:hAnsi="Arial" w:cs="Arial"/>
          <w:color w:val="010000"/>
          <w:sz w:val="20"/>
        </w:rPr>
        <w:t xml:space="preserve"> VND 0.17 billion;</w:t>
      </w:r>
    </w:p>
    <w:p w14:paraId="0000000F" w14:textId="0CF5F9E1"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Company's profit after tax: VND 0.11 billion.</w:t>
      </w:r>
    </w:p>
    <w:p w14:paraId="00000010" w14:textId="77777777"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Dividend payment rate: 0%</w:t>
      </w:r>
    </w:p>
    <w:p w14:paraId="00000011" w14:textId="77777777"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Appropriation for bonus and welfare funds: 0</w:t>
      </w:r>
    </w:p>
    <w:p w14:paraId="00000012" w14:textId="77777777"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Appropriation for bonus fund of the managers 0</w:t>
      </w:r>
    </w:p>
    <w:p w14:paraId="00000013" w14:textId="77777777"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Undistributed Residual After-Tax Profit: VND 54.16 billion;</w:t>
      </w:r>
    </w:p>
    <w:p w14:paraId="00000014" w14:textId="2686FCEF"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‎‎Article 6. Approve the settlement of the remuneratio</w:t>
      </w:r>
      <w:r w:rsidR="005F2A44" w:rsidRPr="007074F0">
        <w:rPr>
          <w:rFonts w:ascii="Arial" w:hAnsi="Arial" w:cs="Arial"/>
          <w:color w:val="010000"/>
          <w:sz w:val="20"/>
        </w:rPr>
        <w:t>n of the Board of Directors and</w:t>
      </w:r>
      <w:r w:rsidRPr="007074F0">
        <w:rPr>
          <w:rFonts w:ascii="Arial" w:hAnsi="Arial" w:cs="Arial"/>
          <w:color w:val="010000"/>
          <w:sz w:val="20"/>
        </w:rPr>
        <w:t xml:space="preserve"> the Supervisory Board in 2023 as follows:</w:t>
      </w:r>
    </w:p>
    <w:p w14:paraId="00000015" w14:textId="201FC713"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Total remuneration of non-executive members</w:t>
      </w:r>
      <w:r w:rsidR="005F2A44" w:rsidRPr="007074F0">
        <w:rPr>
          <w:rFonts w:ascii="Arial" w:hAnsi="Arial" w:cs="Arial"/>
          <w:color w:val="010000"/>
          <w:sz w:val="20"/>
        </w:rPr>
        <w:t xml:space="preserve"> of the Board of Directors</w:t>
      </w:r>
      <w:r w:rsidRPr="007074F0">
        <w:rPr>
          <w:rFonts w:ascii="Arial" w:hAnsi="Arial" w:cs="Arial"/>
          <w:color w:val="010000"/>
          <w:sz w:val="20"/>
        </w:rPr>
        <w:t>: VND 276,000,000.</w:t>
      </w:r>
    </w:p>
    <w:p w14:paraId="00000016" w14:textId="74F28C43"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 xml:space="preserve">Total remuneration of </w:t>
      </w:r>
      <w:r w:rsidR="005F2A44" w:rsidRPr="007074F0">
        <w:rPr>
          <w:rFonts w:ascii="Arial" w:hAnsi="Arial" w:cs="Arial"/>
          <w:color w:val="010000"/>
          <w:sz w:val="20"/>
        </w:rPr>
        <w:t xml:space="preserve">non-executive </w:t>
      </w:r>
      <w:r w:rsidRPr="007074F0">
        <w:rPr>
          <w:rFonts w:ascii="Arial" w:hAnsi="Arial" w:cs="Arial"/>
          <w:color w:val="010000"/>
          <w:sz w:val="20"/>
        </w:rPr>
        <w:t xml:space="preserve">members of the Supervisory Board and salary of the executive manager </w:t>
      </w:r>
      <w:r w:rsidR="005F2A44" w:rsidRPr="007074F0">
        <w:rPr>
          <w:rFonts w:ascii="Arial" w:hAnsi="Arial" w:cs="Arial"/>
          <w:color w:val="010000"/>
          <w:sz w:val="20"/>
        </w:rPr>
        <w:t>who is the Chief of the Supervisory Board</w:t>
      </w:r>
      <w:r w:rsidRPr="007074F0">
        <w:rPr>
          <w:rFonts w:ascii="Arial" w:hAnsi="Arial" w:cs="Arial"/>
          <w:color w:val="010000"/>
          <w:sz w:val="20"/>
        </w:rPr>
        <w:t>: VND 290,400,000;</w:t>
      </w:r>
    </w:p>
    <w:p w14:paraId="00000017" w14:textId="0A89C3AF"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 xml:space="preserve">Article 7. Approve the production and business plan 2024, the profit </w:t>
      </w:r>
      <w:r w:rsidR="005F2A44" w:rsidRPr="007074F0">
        <w:rPr>
          <w:rFonts w:ascii="Arial" w:hAnsi="Arial" w:cs="Arial"/>
          <w:color w:val="010000"/>
          <w:sz w:val="20"/>
        </w:rPr>
        <w:t xml:space="preserve">after </w:t>
      </w:r>
      <w:r w:rsidRPr="007074F0">
        <w:rPr>
          <w:rFonts w:ascii="Arial" w:hAnsi="Arial" w:cs="Arial"/>
          <w:color w:val="010000"/>
          <w:sz w:val="20"/>
        </w:rPr>
        <w:t>distribution plan 2024</w:t>
      </w:r>
    </w:p>
    <w:p w14:paraId="00000018" w14:textId="77777777" w:rsidR="005D609F" w:rsidRPr="007074F0" w:rsidRDefault="00002B3C" w:rsidP="00906349">
      <w:pPr>
        <w:pBdr>
          <w:top w:val="nil"/>
          <w:left w:val="nil"/>
          <w:bottom w:val="nil"/>
          <w:right w:val="nil"/>
          <w:between w:val="nil"/>
        </w:pBdr>
        <w:spacing w:after="120" w:line="360" w:lineRule="auto"/>
        <w:rPr>
          <w:rFonts w:ascii="Arial" w:eastAsia="Arial" w:hAnsi="Arial" w:cs="Arial"/>
          <w:color w:val="010000"/>
          <w:sz w:val="20"/>
          <w:szCs w:val="20"/>
        </w:rPr>
      </w:pPr>
      <w:r w:rsidRPr="007074F0">
        <w:rPr>
          <w:rFonts w:ascii="Arial" w:hAnsi="Arial" w:cs="Arial"/>
          <w:color w:val="010000"/>
          <w:sz w:val="20"/>
        </w:rPr>
        <w:t>The meeting voted to approve the production and business plan 2024, dividend payment plan and profit distribution after tax in 2024 as follows:</w:t>
      </w:r>
    </w:p>
    <w:p w14:paraId="00000019" w14:textId="77777777"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Total revenue of the Company: VND 106.00 billion.</w:t>
      </w:r>
    </w:p>
    <w:p w14:paraId="0000001A" w14:textId="6224D19C"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lastRenderedPageBreak/>
        <w:t>Company's net revenue: VND 91.80 billion;</w:t>
      </w:r>
    </w:p>
    <w:p w14:paraId="0000001B" w14:textId="04A60241" w:rsidR="005D609F" w:rsidRPr="007074F0" w:rsidRDefault="005F2A44"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Profit before tax</w:t>
      </w:r>
      <w:r w:rsidR="00002B3C" w:rsidRPr="007074F0">
        <w:rPr>
          <w:rFonts w:ascii="Arial" w:hAnsi="Arial" w:cs="Arial"/>
          <w:color w:val="010000"/>
          <w:sz w:val="20"/>
        </w:rPr>
        <w:t>: VND 0.60 billion.</w:t>
      </w:r>
    </w:p>
    <w:p w14:paraId="0000001C" w14:textId="2F5B350C" w:rsidR="005D609F" w:rsidRPr="007074F0" w:rsidRDefault="005F2A44"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Profit after tax</w:t>
      </w:r>
      <w:r w:rsidR="00002B3C" w:rsidRPr="007074F0">
        <w:rPr>
          <w:rFonts w:ascii="Arial" w:hAnsi="Arial" w:cs="Arial"/>
          <w:color w:val="010000"/>
          <w:sz w:val="20"/>
        </w:rPr>
        <w:t>: VND 0.60 billion;</w:t>
      </w:r>
    </w:p>
    <w:p w14:paraId="0000001D" w14:textId="77777777"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Based on the results of the implementation of the production and business plan in 2024, the Board of Directors shall submit to the General Meeting of Shareholders the appropriation of funds in 2024 (if any)</w:t>
      </w:r>
    </w:p>
    <w:p w14:paraId="0000001E" w14:textId="77777777"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Article 8. Approve the remuneration of the Board of Directors and the Supervisory Board in 2024.</w:t>
      </w:r>
    </w:p>
    <w:p w14:paraId="0000001F" w14:textId="77777777"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The meeting voted to approve the remuneration of the Board of Directors and the Supervisory Board in 2024 as follows:</w:t>
      </w:r>
    </w:p>
    <w:p w14:paraId="00000020" w14:textId="2F024FD2"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 xml:space="preserve">Total remuneration of </w:t>
      </w:r>
      <w:r w:rsidR="005F2A44" w:rsidRPr="007074F0">
        <w:rPr>
          <w:rFonts w:ascii="Arial" w:hAnsi="Arial" w:cs="Arial"/>
          <w:color w:val="010000"/>
          <w:sz w:val="20"/>
        </w:rPr>
        <w:t>non-executive members of the Board of Directors</w:t>
      </w:r>
      <w:r w:rsidRPr="007074F0">
        <w:rPr>
          <w:rFonts w:ascii="Arial" w:hAnsi="Arial" w:cs="Arial"/>
          <w:color w:val="010000"/>
          <w:sz w:val="20"/>
        </w:rPr>
        <w:t>: VND 270,000,000.</w:t>
      </w:r>
    </w:p>
    <w:p w14:paraId="00000021" w14:textId="6091C376" w:rsidR="005D609F" w:rsidRPr="007074F0" w:rsidRDefault="00002B3C"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 xml:space="preserve">The total remuneration of the </w:t>
      </w:r>
      <w:r w:rsidR="005F2A44" w:rsidRPr="007074F0">
        <w:rPr>
          <w:rFonts w:ascii="Arial" w:hAnsi="Arial" w:cs="Arial"/>
          <w:color w:val="010000"/>
          <w:sz w:val="20"/>
        </w:rPr>
        <w:t>non-executive members of the Supervisory Board and salary of the executive manager who is the Chief of the Supervisory Board</w:t>
      </w:r>
      <w:r w:rsidRPr="007074F0">
        <w:rPr>
          <w:rFonts w:ascii="Arial" w:hAnsi="Arial" w:cs="Arial"/>
          <w:color w:val="010000"/>
          <w:sz w:val="20"/>
        </w:rPr>
        <w:t>: VND 338,400,000.</w:t>
      </w:r>
    </w:p>
    <w:p w14:paraId="00000022" w14:textId="3815F2DE" w:rsidR="005D609F" w:rsidRPr="007074F0" w:rsidRDefault="005F2A44" w:rsidP="00906349">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074F0">
        <w:rPr>
          <w:rFonts w:ascii="Arial" w:hAnsi="Arial" w:cs="Arial"/>
          <w:color w:val="010000"/>
          <w:sz w:val="20"/>
        </w:rPr>
        <w:t>The remuneration</w:t>
      </w:r>
      <w:r w:rsidR="00002B3C" w:rsidRPr="007074F0">
        <w:rPr>
          <w:rFonts w:ascii="Arial" w:hAnsi="Arial" w:cs="Arial"/>
          <w:color w:val="010000"/>
          <w:sz w:val="20"/>
        </w:rPr>
        <w:t xml:space="preserve"> of the company manager and salary of the executive manager who is the </w:t>
      </w:r>
      <w:r w:rsidRPr="007074F0">
        <w:rPr>
          <w:rFonts w:ascii="Arial" w:hAnsi="Arial" w:cs="Arial"/>
          <w:color w:val="010000"/>
          <w:sz w:val="20"/>
        </w:rPr>
        <w:t>Chief</w:t>
      </w:r>
      <w:r w:rsidR="00002B3C" w:rsidRPr="007074F0">
        <w:rPr>
          <w:rFonts w:ascii="Arial" w:hAnsi="Arial" w:cs="Arial"/>
          <w:color w:val="010000"/>
          <w:sz w:val="20"/>
        </w:rPr>
        <w:t xml:space="preserve"> of the Supervisory Board will be settled at the end of the year based on the results of production and business activities of the Company.</w:t>
      </w:r>
    </w:p>
    <w:p w14:paraId="00000023" w14:textId="1F926591" w:rsidR="005D609F" w:rsidRPr="007074F0" w:rsidRDefault="00002B3C" w:rsidP="00906349">
      <w:pPr>
        <w:keepNext/>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‎‎Article 9. Approve the selection of an audit</w:t>
      </w:r>
      <w:r w:rsidR="005F2A44" w:rsidRPr="007074F0">
        <w:rPr>
          <w:rFonts w:ascii="Arial" w:hAnsi="Arial" w:cs="Arial"/>
          <w:color w:val="010000"/>
          <w:sz w:val="20"/>
        </w:rPr>
        <w:t xml:space="preserve"> </w:t>
      </w:r>
      <w:r w:rsidRPr="007074F0">
        <w:rPr>
          <w:rFonts w:ascii="Arial" w:hAnsi="Arial" w:cs="Arial"/>
          <w:color w:val="010000"/>
          <w:sz w:val="20"/>
        </w:rPr>
        <w:t>company for the Financial Statements 2024</w:t>
      </w:r>
    </w:p>
    <w:p w14:paraId="00000024" w14:textId="2BF4BFB1"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 xml:space="preserve">The meeting voted to approve the list of audit companies and authorized the Board of Directors to select a company to audit the Company's Financial Statements </w:t>
      </w:r>
      <w:r w:rsidR="005F2A44" w:rsidRPr="007074F0">
        <w:rPr>
          <w:rFonts w:ascii="Arial" w:hAnsi="Arial" w:cs="Arial"/>
          <w:color w:val="010000"/>
          <w:sz w:val="20"/>
        </w:rPr>
        <w:t xml:space="preserve">2024 </w:t>
      </w:r>
      <w:r w:rsidRPr="007074F0">
        <w:rPr>
          <w:rFonts w:ascii="Arial" w:hAnsi="Arial" w:cs="Arial"/>
          <w:color w:val="010000"/>
          <w:sz w:val="20"/>
        </w:rPr>
        <w:t>according to the following list:</w:t>
      </w:r>
    </w:p>
    <w:p w14:paraId="00000025" w14:textId="77777777" w:rsidR="005D609F" w:rsidRPr="007074F0" w:rsidRDefault="00002B3C" w:rsidP="00906349">
      <w:pPr>
        <w:numPr>
          <w:ilvl w:val="0"/>
          <w:numId w:val="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rPr>
      </w:pPr>
      <w:r w:rsidRPr="007074F0">
        <w:rPr>
          <w:rFonts w:ascii="Arial" w:hAnsi="Arial" w:cs="Arial"/>
          <w:color w:val="010000"/>
          <w:sz w:val="20"/>
        </w:rPr>
        <w:t>VACO Auditing Company Limited (VACO);</w:t>
      </w:r>
    </w:p>
    <w:p w14:paraId="00000026" w14:textId="77777777" w:rsidR="005D609F" w:rsidRPr="007074F0" w:rsidRDefault="00002B3C" w:rsidP="00906349">
      <w:pPr>
        <w:numPr>
          <w:ilvl w:val="0"/>
          <w:numId w:val="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rPr>
      </w:pPr>
      <w:r w:rsidRPr="007074F0">
        <w:rPr>
          <w:rFonts w:ascii="Arial" w:hAnsi="Arial" w:cs="Arial"/>
          <w:color w:val="010000"/>
          <w:sz w:val="20"/>
        </w:rPr>
        <w:t>RSM Vietnam Auditing &amp; Consulting Limited</w:t>
      </w:r>
    </w:p>
    <w:p w14:paraId="00000027" w14:textId="77777777" w:rsidR="005D609F" w:rsidRPr="007074F0" w:rsidRDefault="00002B3C" w:rsidP="00906349">
      <w:pPr>
        <w:numPr>
          <w:ilvl w:val="0"/>
          <w:numId w:val="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rPr>
      </w:pPr>
      <w:r w:rsidRPr="007074F0">
        <w:rPr>
          <w:rFonts w:ascii="Arial" w:hAnsi="Arial" w:cs="Arial"/>
          <w:color w:val="010000"/>
          <w:sz w:val="20"/>
        </w:rPr>
        <w:t>A&amp;C Auditing and Consulting Company Limited;</w:t>
      </w:r>
    </w:p>
    <w:p w14:paraId="00000028" w14:textId="77777777" w:rsidR="005D609F" w:rsidRPr="007074F0" w:rsidRDefault="00002B3C" w:rsidP="00906349">
      <w:pPr>
        <w:numPr>
          <w:ilvl w:val="0"/>
          <w:numId w:val="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rPr>
      </w:pPr>
      <w:r w:rsidRPr="007074F0">
        <w:rPr>
          <w:rFonts w:ascii="Arial" w:hAnsi="Arial" w:cs="Arial"/>
          <w:color w:val="010000"/>
          <w:sz w:val="20"/>
        </w:rPr>
        <w:t>Grant Thornton (Vietnam) Ltd</w:t>
      </w:r>
    </w:p>
    <w:p w14:paraId="00000029" w14:textId="77777777" w:rsidR="005D609F" w:rsidRPr="007074F0" w:rsidRDefault="00002B3C" w:rsidP="00906349">
      <w:pPr>
        <w:numPr>
          <w:ilvl w:val="0"/>
          <w:numId w:val="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rPr>
      </w:pPr>
      <w:r w:rsidRPr="007074F0">
        <w:rPr>
          <w:rFonts w:ascii="Arial" w:hAnsi="Arial" w:cs="Arial"/>
          <w:color w:val="010000"/>
          <w:sz w:val="20"/>
        </w:rPr>
        <w:t>Auditing and Informatic Services Company Limited (AISC)</w:t>
      </w:r>
    </w:p>
    <w:p w14:paraId="0000002A" w14:textId="77777777"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‎‎Article 10. Terms of enforcement</w:t>
      </w:r>
    </w:p>
    <w:p w14:paraId="0000002B" w14:textId="71FB5E49" w:rsidR="005D609F" w:rsidRPr="007074F0" w:rsidRDefault="00002B3C" w:rsidP="00906349">
      <w:pP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This</w:t>
      </w:r>
      <w:r w:rsidR="005F2A44" w:rsidRPr="007074F0">
        <w:rPr>
          <w:rFonts w:ascii="Arial" w:hAnsi="Arial" w:cs="Arial"/>
          <w:color w:val="010000"/>
          <w:sz w:val="20"/>
        </w:rPr>
        <w:t xml:space="preserve"> General Mandate</w:t>
      </w:r>
      <w:r w:rsidRPr="007074F0">
        <w:rPr>
          <w:rFonts w:ascii="Arial" w:hAnsi="Arial" w:cs="Arial"/>
          <w:color w:val="010000"/>
          <w:sz w:val="20"/>
        </w:rPr>
        <w:t xml:space="preserve"> was approved by the General Meeting of Shareholders of Vietnam Plastic Corporation.</w:t>
      </w:r>
    </w:p>
    <w:p w14:paraId="0000002C" w14:textId="55063539"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 xml:space="preserve">This </w:t>
      </w:r>
      <w:r w:rsidR="005F2A44" w:rsidRPr="007074F0">
        <w:rPr>
          <w:rFonts w:ascii="Arial" w:hAnsi="Arial" w:cs="Arial"/>
          <w:color w:val="010000"/>
          <w:sz w:val="20"/>
        </w:rPr>
        <w:t>General Mandate</w:t>
      </w:r>
      <w:r w:rsidRPr="007074F0">
        <w:rPr>
          <w:rFonts w:ascii="Arial" w:hAnsi="Arial" w:cs="Arial"/>
          <w:color w:val="010000"/>
          <w:sz w:val="20"/>
        </w:rPr>
        <w:t xml:space="preserve"> takes effect from the date of approval by the General Meeting of Shareholders of Vietnam Plastic Corporation.</w:t>
      </w:r>
    </w:p>
    <w:p w14:paraId="0000002D" w14:textId="04E74DAF" w:rsidR="005D609F" w:rsidRPr="007074F0" w:rsidRDefault="00002B3C" w:rsidP="00906349">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7074F0">
        <w:rPr>
          <w:rFonts w:ascii="Arial" w:hAnsi="Arial" w:cs="Arial"/>
          <w:color w:val="010000"/>
          <w:sz w:val="20"/>
        </w:rPr>
        <w:t xml:space="preserve">The General Meeting of Shareholders in 2024 unanimously assigns the Board of Directors of Vietnam Plastic Corporation to organize and manage the Company to successfully implement the contents of this </w:t>
      </w:r>
      <w:r w:rsidR="005F2A44" w:rsidRPr="007074F0">
        <w:rPr>
          <w:rFonts w:ascii="Arial" w:hAnsi="Arial" w:cs="Arial"/>
          <w:color w:val="010000"/>
          <w:sz w:val="20"/>
        </w:rPr>
        <w:t>General Mandate</w:t>
      </w:r>
      <w:r w:rsidRPr="007074F0">
        <w:rPr>
          <w:rFonts w:ascii="Arial" w:hAnsi="Arial" w:cs="Arial"/>
          <w:color w:val="010000"/>
          <w:sz w:val="20"/>
        </w:rPr>
        <w:t>.</w:t>
      </w:r>
    </w:p>
    <w:sectPr w:rsidR="005D609F" w:rsidRPr="007074F0" w:rsidSect="00906349">
      <w:headerReference w:type="even" r:id="rId8"/>
      <w:headerReference w:type="default" r:id="rId9"/>
      <w:headerReference w:type="first" r:id="rId10"/>
      <w:pgSz w:w="11906" w:h="16838"/>
      <w:pgMar w:top="1440" w:right="1440" w:bottom="1440" w:left="1440" w:header="0" w:footer="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973A8" w14:textId="77777777" w:rsidR="00D278B2" w:rsidRDefault="00D278B2">
      <w:r>
        <w:separator/>
      </w:r>
    </w:p>
  </w:endnote>
  <w:endnote w:type="continuationSeparator" w:id="0">
    <w:p w14:paraId="6CB2F5D4" w14:textId="77777777" w:rsidR="00D278B2" w:rsidRDefault="00D2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F1414" w14:textId="77777777" w:rsidR="00D278B2" w:rsidRDefault="00D278B2">
      <w:r>
        <w:separator/>
      </w:r>
    </w:p>
  </w:footnote>
  <w:footnote w:type="continuationSeparator" w:id="0">
    <w:p w14:paraId="0D86060A" w14:textId="77777777" w:rsidR="00D278B2" w:rsidRDefault="00D2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F" w14:textId="77777777" w:rsidR="005D609F" w:rsidRDefault="005D609F">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E" w14:textId="77777777" w:rsidR="005D609F" w:rsidRDefault="005D609F">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0" w14:textId="77777777" w:rsidR="005D609F" w:rsidRDefault="005D609F">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55CC9"/>
    <w:multiLevelType w:val="multilevel"/>
    <w:tmpl w:val="BFC68914"/>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6230B6"/>
    <w:multiLevelType w:val="multilevel"/>
    <w:tmpl w:val="6686ACC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3456233">
    <w:abstractNumId w:val="1"/>
  </w:num>
  <w:num w:numId="2" w16cid:durableId="204159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9F"/>
    <w:rsid w:val="00002B3C"/>
    <w:rsid w:val="00212357"/>
    <w:rsid w:val="004218FE"/>
    <w:rsid w:val="005D609F"/>
    <w:rsid w:val="005F2A44"/>
    <w:rsid w:val="006460E4"/>
    <w:rsid w:val="007074F0"/>
    <w:rsid w:val="00906349"/>
    <w:rsid w:val="00A547F3"/>
    <w:rsid w:val="00C61EB0"/>
    <w:rsid w:val="00D278B2"/>
    <w:rsid w:val="00E5007C"/>
    <w:rsid w:val="00EA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2A9A0"/>
  <w15:docId w15:val="{22F7D8C3-9131-4965-A1E2-D9522E83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A73B52"/>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pPr>
      <w:shd w:val="clear" w:color="auto" w:fill="FFFFFF"/>
      <w:spacing w:line="288" w:lineRule="auto"/>
      <w:ind w:firstLine="2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jc w:val="right"/>
    </w:pPr>
    <w:rPr>
      <w:rFonts w:ascii="Arial" w:eastAsia="Arial" w:hAnsi="Arial" w:cs="Arial"/>
      <w:color w:val="A73B52"/>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1">
    <w:name w:val="Heading #1"/>
    <w:basedOn w:val="Normal"/>
    <w:link w:val="Heading10"/>
    <w:pPr>
      <w:shd w:val="clear" w:color="auto" w:fill="FFFFFF"/>
      <w:spacing w:line="278" w:lineRule="auto"/>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ElmfR/0Ld5S0gOnIjdd4fYF3EA==">CgMxLjA4AHIhMVVjZnJyNl8xdnNSMGpER0dlVnNBS1l4c2w4Q1VQZFB0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611</Words>
  <Characters>3228</Characters>
  <Application>Microsoft Office Word</Application>
  <DocSecurity>0</DocSecurity>
  <Lines>62</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2024-05-27T03:46:00Z</dcterms:created>
  <dcterms:modified xsi:type="dcterms:W3CDTF">2024-05-29T00:07:00Z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9e1bd6f8d59badac9bb217fa17fe9e1c3840e246b417bc074ca42516535ecee1</vt:lpwstr>
  </property>
</Properties>
</file>