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heading=h.gjdgxs"/>
      <w:bookmarkStart w:id="1" w:name="_GoBack"/>
      <w:bookmarkEnd w:id="0"/>
      <w:bookmarkEnd w:id="1"/>
      <w:r w:rsidRPr="006247B6">
        <w:rPr>
          <w:rFonts w:ascii="Arial" w:hAnsi="Arial" w:cs="Arial"/>
          <w:b/>
          <w:color w:val="010000"/>
          <w:sz w:val="20"/>
        </w:rPr>
        <w:t>MCM: Board Resolution</w:t>
      </w:r>
    </w:p>
    <w:p w14:paraId="00000002" w14:textId="77777777"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247B6">
        <w:rPr>
          <w:rFonts w:ascii="Arial" w:hAnsi="Arial" w:cs="Arial"/>
          <w:color w:val="010000"/>
          <w:sz w:val="20"/>
        </w:rPr>
        <w:t>On May 27, 2024, MocChau Dairy Cattle Breeding Joint Stock Company announced Resolution No. 60/NQ-HDQT/GBS/2024 as follows:</w:t>
      </w:r>
    </w:p>
    <w:p w14:paraId="00000003" w14:textId="77777777"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247B6">
        <w:rPr>
          <w:rFonts w:ascii="Arial" w:hAnsi="Arial" w:cs="Arial"/>
          <w:color w:val="010000"/>
          <w:sz w:val="20"/>
        </w:rPr>
        <w:t>Article 1: Approve the cancellation of registration for trading MCM shares of MocChau Dairy Cattle Breeding Joint Stock Company at the Hanoi Stock Exchange as follows:</w:t>
      </w:r>
    </w:p>
    <w:p w14:paraId="00000004" w14:textId="77777777" w:rsidR="00D66668" w:rsidRPr="006247B6" w:rsidRDefault="006247B6" w:rsidP="006247B6">
      <w:pPr>
        <w:numPr>
          <w:ilvl w:val="0"/>
          <w:numId w:val="1"/>
        </w:numPr>
        <w:pBdr>
          <w:top w:val="nil"/>
          <w:left w:val="nil"/>
          <w:bottom w:val="nil"/>
          <w:right w:val="nil"/>
          <w:between w:val="nil"/>
        </w:pBdr>
        <w:tabs>
          <w:tab w:val="left" w:pos="432"/>
          <w:tab w:val="left" w:pos="680"/>
        </w:tabs>
        <w:spacing w:after="120" w:line="360" w:lineRule="auto"/>
        <w:rPr>
          <w:rFonts w:ascii="Arial" w:eastAsia="Arial" w:hAnsi="Arial" w:cs="Arial"/>
          <w:color w:val="010000"/>
          <w:sz w:val="20"/>
          <w:szCs w:val="20"/>
        </w:rPr>
      </w:pPr>
      <w:r w:rsidRPr="006247B6">
        <w:rPr>
          <w:rFonts w:ascii="Arial" w:hAnsi="Arial" w:cs="Arial"/>
          <w:color w:val="010000"/>
          <w:sz w:val="20"/>
        </w:rPr>
        <w:t>Securities name: MocChau Dairy Cattle Breeding Joint Stock Company’s shares</w:t>
      </w:r>
    </w:p>
    <w:p w14:paraId="00000005" w14:textId="77777777" w:rsidR="00D66668" w:rsidRPr="006247B6" w:rsidRDefault="006247B6" w:rsidP="006247B6">
      <w:pPr>
        <w:numPr>
          <w:ilvl w:val="0"/>
          <w:numId w:val="1"/>
        </w:numPr>
        <w:pBdr>
          <w:top w:val="nil"/>
          <w:left w:val="nil"/>
          <w:bottom w:val="nil"/>
          <w:right w:val="nil"/>
          <w:between w:val="nil"/>
        </w:pBdr>
        <w:tabs>
          <w:tab w:val="left" w:pos="432"/>
          <w:tab w:val="left" w:pos="680"/>
        </w:tabs>
        <w:spacing w:after="120" w:line="360" w:lineRule="auto"/>
        <w:rPr>
          <w:rFonts w:ascii="Arial" w:eastAsia="Arial" w:hAnsi="Arial" w:cs="Arial"/>
          <w:color w:val="010000"/>
          <w:sz w:val="20"/>
          <w:szCs w:val="20"/>
        </w:rPr>
      </w:pPr>
      <w:r w:rsidRPr="006247B6">
        <w:rPr>
          <w:rFonts w:ascii="Arial" w:hAnsi="Arial" w:cs="Arial"/>
          <w:color w:val="010000"/>
          <w:sz w:val="20"/>
        </w:rPr>
        <w:t>Securities type: Common shares</w:t>
      </w:r>
    </w:p>
    <w:p w14:paraId="00000006" w14:textId="77777777" w:rsidR="00D66668" w:rsidRPr="006247B6" w:rsidRDefault="006247B6" w:rsidP="006247B6">
      <w:pPr>
        <w:numPr>
          <w:ilvl w:val="0"/>
          <w:numId w:val="1"/>
        </w:numPr>
        <w:pBdr>
          <w:top w:val="nil"/>
          <w:left w:val="nil"/>
          <w:bottom w:val="nil"/>
          <w:right w:val="nil"/>
          <w:between w:val="nil"/>
        </w:pBdr>
        <w:tabs>
          <w:tab w:val="left" w:pos="432"/>
          <w:tab w:val="left" w:pos="680"/>
        </w:tabs>
        <w:spacing w:after="120" w:line="360" w:lineRule="auto"/>
        <w:rPr>
          <w:rFonts w:ascii="Arial" w:eastAsia="Arial" w:hAnsi="Arial" w:cs="Arial"/>
          <w:color w:val="010000"/>
          <w:sz w:val="20"/>
          <w:szCs w:val="20"/>
        </w:rPr>
      </w:pPr>
      <w:r w:rsidRPr="006247B6">
        <w:rPr>
          <w:rFonts w:ascii="Arial" w:hAnsi="Arial" w:cs="Arial"/>
          <w:color w:val="010000"/>
          <w:sz w:val="20"/>
        </w:rPr>
        <w:t>Securities code: MCM</w:t>
      </w:r>
    </w:p>
    <w:p w14:paraId="00000007" w14:textId="77777777" w:rsidR="00D66668" w:rsidRPr="006247B6" w:rsidRDefault="006247B6" w:rsidP="006247B6">
      <w:pPr>
        <w:numPr>
          <w:ilvl w:val="0"/>
          <w:numId w:val="1"/>
        </w:numPr>
        <w:pBdr>
          <w:top w:val="nil"/>
          <w:left w:val="nil"/>
          <w:bottom w:val="nil"/>
          <w:right w:val="nil"/>
          <w:between w:val="nil"/>
        </w:pBdr>
        <w:tabs>
          <w:tab w:val="left" w:pos="432"/>
          <w:tab w:val="left" w:pos="680"/>
        </w:tabs>
        <w:spacing w:after="120" w:line="360" w:lineRule="auto"/>
        <w:rPr>
          <w:rFonts w:ascii="Arial" w:eastAsia="Arial" w:hAnsi="Arial" w:cs="Arial"/>
          <w:color w:val="010000"/>
          <w:sz w:val="20"/>
          <w:szCs w:val="20"/>
        </w:rPr>
      </w:pPr>
      <w:r w:rsidRPr="006247B6">
        <w:rPr>
          <w:rFonts w:ascii="Arial" w:hAnsi="Arial" w:cs="Arial"/>
          <w:color w:val="010000"/>
          <w:sz w:val="20"/>
        </w:rPr>
        <w:t>Par value: VND 10,000/share</w:t>
      </w:r>
    </w:p>
    <w:p w14:paraId="00000008" w14:textId="77777777" w:rsidR="00D66668" w:rsidRPr="006247B6" w:rsidRDefault="006247B6" w:rsidP="006247B6">
      <w:pPr>
        <w:numPr>
          <w:ilvl w:val="0"/>
          <w:numId w:val="1"/>
        </w:numPr>
        <w:pBdr>
          <w:top w:val="nil"/>
          <w:left w:val="nil"/>
          <w:bottom w:val="nil"/>
          <w:right w:val="nil"/>
          <w:between w:val="nil"/>
        </w:pBdr>
        <w:tabs>
          <w:tab w:val="left" w:pos="432"/>
          <w:tab w:val="left" w:pos="680"/>
        </w:tabs>
        <w:spacing w:after="120" w:line="360" w:lineRule="auto"/>
        <w:rPr>
          <w:rFonts w:ascii="Arial" w:eastAsia="Arial" w:hAnsi="Arial" w:cs="Arial"/>
          <w:color w:val="010000"/>
          <w:sz w:val="20"/>
          <w:szCs w:val="20"/>
        </w:rPr>
      </w:pPr>
      <w:r w:rsidRPr="006247B6">
        <w:rPr>
          <w:rFonts w:ascii="Arial" w:hAnsi="Arial" w:cs="Arial"/>
          <w:color w:val="010000"/>
          <w:sz w:val="20"/>
        </w:rPr>
        <w:t>Number of securities canceled from trading registration: 110,000,000 shares</w:t>
      </w:r>
    </w:p>
    <w:p w14:paraId="00000009" w14:textId="77777777" w:rsidR="00D66668" w:rsidRPr="006247B6" w:rsidRDefault="006247B6" w:rsidP="006247B6">
      <w:pPr>
        <w:numPr>
          <w:ilvl w:val="0"/>
          <w:numId w:val="1"/>
        </w:numPr>
        <w:pBdr>
          <w:top w:val="nil"/>
          <w:left w:val="nil"/>
          <w:bottom w:val="nil"/>
          <w:right w:val="nil"/>
          <w:between w:val="nil"/>
        </w:pBdr>
        <w:tabs>
          <w:tab w:val="left" w:pos="432"/>
          <w:tab w:val="left" w:pos="691"/>
        </w:tabs>
        <w:spacing w:after="120" w:line="360" w:lineRule="auto"/>
        <w:rPr>
          <w:rFonts w:ascii="Arial" w:eastAsia="Arial" w:hAnsi="Arial" w:cs="Arial"/>
          <w:color w:val="010000"/>
          <w:sz w:val="20"/>
          <w:szCs w:val="20"/>
        </w:rPr>
      </w:pPr>
      <w:r w:rsidRPr="006247B6">
        <w:rPr>
          <w:rFonts w:ascii="Arial" w:hAnsi="Arial" w:cs="Arial"/>
          <w:color w:val="010000"/>
          <w:sz w:val="20"/>
        </w:rPr>
        <w:t>Reasons for trading cancellation: Transfer of share listing registration to Ho Chi Minh City Stock Exchange</w:t>
      </w:r>
    </w:p>
    <w:p w14:paraId="0000000A" w14:textId="77777777" w:rsidR="00D66668" w:rsidRPr="006247B6" w:rsidRDefault="006247B6" w:rsidP="006247B6">
      <w:pPr>
        <w:numPr>
          <w:ilvl w:val="0"/>
          <w:numId w:val="1"/>
        </w:numPr>
        <w:pBdr>
          <w:top w:val="nil"/>
          <w:left w:val="nil"/>
          <w:bottom w:val="nil"/>
          <w:right w:val="nil"/>
          <w:between w:val="nil"/>
        </w:pBdr>
        <w:tabs>
          <w:tab w:val="left" w:pos="432"/>
          <w:tab w:val="left" w:pos="680"/>
        </w:tabs>
        <w:spacing w:after="120" w:line="360" w:lineRule="auto"/>
        <w:rPr>
          <w:rFonts w:ascii="Arial" w:eastAsia="Arial" w:hAnsi="Arial" w:cs="Arial"/>
          <w:color w:val="010000"/>
          <w:sz w:val="20"/>
          <w:szCs w:val="20"/>
        </w:rPr>
      </w:pPr>
      <w:r w:rsidRPr="006247B6">
        <w:rPr>
          <w:rFonts w:ascii="Arial" w:hAnsi="Arial" w:cs="Arial"/>
          <w:color w:val="010000"/>
          <w:sz w:val="20"/>
        </w:rPr>
        <w:t>Trading registration cancellation date: June 14, 2024</w:t>
      </w:r>
    </w:p>
    <w:p w14:paraId="0000000B" w14:textId="511FE57A" w:rsidR="00D66668" w:rsidRPr="006247B6" w:rsidRDefault="006247B6" w:rsidP="006247B6">
      <w:pPr>
        <w:numPr>
          <w:ilvl w:val="0"/>
          <w:numId w:val="1"/>
        </w:numPr>
        <w:pBdr>
          <w:top w:val="nil"/>
          <w:left w:val="nil"/>
          <w:bottom w:val="nil"/>
          <w:right w:val="nil"/>
          <w:between w:val="nil"/>
        </w:pBdr>
        <w:tabs>
          <w:tab w:val="left" w:pos="432"/>
          <w:tab w:val="left" w:pos="680"/>
        </w:tabs>
        <w:spacing w:after="120" w:line="360" w:lineRule="auto"/>
        <w:rPr>
          <w:rFonts w:ascii="Arial" w:eastAsia="Arial" w:hAnsi="Arial" w:cs="Arial"/>
          <w:color w:val="010000"/>
          <w:sz w:val="20"/>
          <w:szCs w:val="20"/>
        </w:rPr>
      </w:pPr>
      <w:r w:rsidRPr="006247B6">
        <w:rPr>
          <w:rFonts w:ascii="Arial" w:hAnsi="Arial" w:cs="Arial"/>
          <w:color w:val="010000"/>
          <w:sz w:val="20"/>
        </w:rPr>
        <w:t>Last trading date at the Hanoi Stock Exchange: June 13, 2024</w:t>
      </w:r>
    </w:p>
    <w:p w14:paraId="0000000C" w14:textId="77777777"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247B6">
        <w:rPr>
          <w:rFonts w:ascii="Arial" w:hAnsi="Arial" w:cs="Arial"/>
          <w:color w:val="010000"/>
          <w:sz w:val="20"/>
        </w:rPr>
        <w:t>Article 2: Approve on resolving the interests of shareholders of the Company.</w:t>
      </w:r>
    </w:p>
    <w:p w14:paraId="0000000D" w14:textId="30CBB810"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247B6">
        <w:rPr>
          <w:rFonts w:ascii="Arial" w:hAnsi="Arial" w:cs="Arial"/>
          <w:color w:val="010000"/>
          <w:sz w:val="20"/>
        </w:rPr>
        <w:t>MCM shares are registered to be listed at the Ho Chi Minh City Stock Exchange. Shareholders' interests when canceling registration for trading MCM shares at the Hanoi Stock Exchange will remain the same and guaranteed in accordance with the provisions of law. At the same time, all MCM shares that have been canceled for trading registration will be transferred to be listed at the Ho Chi Minh City Stock Exchange.</w:t>
      </w:r>
    </w:p>
    <w:p w14:paraId="0000000E" w14:textId="77777777"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247B6">
        <w:rPr>
          <w:rFonts w:ascii="Arial" w:hAnsi="Arial" w:cs="Arial"/>
          <w:color w:val="010000"/>
          <w:sz w:val="20"/>
        </w:rPr>
        <w:t>Article 3: Terms of enforcement</w:t>
      </w:r>
    </w:p>
    <w:p w14:paraId="0000000F" w14:textId="77777777"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247B6">
        <w:rPr>
          <w:rFonts w:ascii="Arial" w:hAnsi="Arial" w:cs="Arial"/>
          <w:color w:val="010000"/>
          <w:sz w:val="20"/>
        </w:rPr>
        <w:t>Authorize and assign the Chair of the Board of Directors or the General Manager of the Company full authority to decide and implement the contents in Article 1 of this Resolution and according to the provisions of law, the State Securities Commission, Stock Exchanges, Vietnam Securities Depository and Clearing Corporation, and the Company, ensuring the interests of shareholders and the Company.</w:t>
      </w:r>
    </w:p>
    <w:p w14:paraId="00000010" w14:textId="77777777" w:rsidR="00D66668" w:rsidRPr="006247B6" w:rsidRDefault="006247B6" w:rsidP="006247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6247B6">
        <w:rPr>
          <w:rFonts w:ascii="Arial" w:hAnsi="Arial" w:cs="Arial"/>
          <w:color w:val="010000"/>
          <w:sz w:val="20"/>
        </w:rPr>
        <w:t>Article 4: This Resolution takes effect from the date of its signing. Members of the Board of Directors, the Board of Management of the Company, relevant organizations, and individuals are responsible for implementing this Resolution.</w:t>
      </w:r>
    </w:p>
    <w:sectPr w:rsidR="00D66668" w:rsidRPr="006247B6" w:rsidSect="006247B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01EC6"/>
    <w:multiLevelType w:val="multilevel"/>
    <w:tmpl w:val="7A8A6F4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68"/>
    <w:rsid w:val="003E4BF9"/>
    <w:rsid w:val="006247B6"/>
    <w:rsid w:val="00D6666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D6D88"/>
  <w15:docId w15:val="{BCE6D07B-6196-4724-B2A2-5421C68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9F7D7F"/>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rPr>
      <w:rFonts w:ascii="Arial" w:eastAsia="Arial" w:hAnsi="Arial" w:cs="Arial"/>
      <w:color w:val="9F7D7F"/>
      <w:sz w:val="18"/>
      <w:szCs w:val="18"/>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Other0">
    <w:name w:val="Other"/>
    <w:basedOn w:val="Normal"/>
    <w:link w:val="Other"/>
    <w:rPr>
      <w:rFonts w:ascii="Times New Roman" w:eastAsia="Times New Roman" w:hAnsi="Times New Roman" w:cs="Times New Roman"/>
      <w:sz w:val="22"/>
      <w:szCs w:val="22"/>
    </w:rPr>
  </w:style>
  <w:style w:type="paragraph" w:customStyle="1" w:styleId="Bodytext30">
    <w:name w:val="Body text (3)"/>
    <w:basedOn w:val="Normal"/>
    <w:link w:val="Bodytext3"/>
    <w:pPr>
      <w:jc w:val="center"/>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EHmLS3d7WI7t4FQTO8/IprVQg==">CgMxLjAyCGguZ2pkZ3hzOAByITFoWk9VZmViTldOeDROcUJhb3lTZ0UyS2FKcWk5UG1acA==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2024-05-30T03:23:00Z</dcterms:created>
  <dcterms:modified xsi:type="dcterms:W3CDTF">2024-05-30T03:23:00Z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c023ab61b4abb0be4b01e91f9978639cace5ca22995d77480d5929c3c25036f1</vt:lpwstr>
  </property>
</Properties>
</file>