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67533" w14:textId="77777777" w:rsidR="00091E46" w:rsidRPr="00E94D50" w:rsidRDefault="0087351D" w:rsidP="00347B71">
      <w:pPr>
        <w:pBdr>
          <w:top w:val="nil"/>
          <w:left w:val="nil"/>
          <w:bottom w:val="nil"/>
          <w:right w:val="nil"/>
          <w:between w:val="nil"/>
        </w:pBdr>
        <w:tabs>
          <w:tab w:val="left" w:pos="6855"/>
        </w:tabs>
        <w:spacing w:after="120" w:line="360" w:lineRule="auto"/>
        <w:rPr>
          <w:rFonts w:ascii="Arial" w:eastAsia="Arial" w:hAnsi="Arial" w:cs="Arial"/>
          <w:b/>
          <w:color w:val="010000"/>
          <w:sz w:val="20"/>
          <w:szCs w:val="20"/>
        </w:rPr>
      </w:pPr>
      <w:bookmarkStart w:id="0" w:name="_GoBack"/>
      <w:bookmarkEnd w:id="0"/>
      <w:r w:rsidRPr="00E94D50">
        <w:rPr>
          <w:rFonts w:ascii="Arial" w:hAnsi="Arial" w:cs="Arial"/>
          <w:b/>
          <w:color w:val="010000"/>
          <w:sz w:val="20"/>
        </w:rPr>
        <w:t>NXT: Annual General Mandate 2024</w:t>
      </w:r>
    </w:p>
    <w:p w14:paraId="101B20DD" w14:textId="77777777" w:rsidR="00091E46" w:rsidRPr="00E94D50" w:rsidRDefault="0087351D" w:rsidP="00347B71">
      <w:pPr>
        <w:pBdr>
          <w:top w:val="nil"/>
          <w:left w:val="nil"/>
          <w:bottom w:val="nil"/>
          <w:right w:val="nil"/>
          <w:between w:val="nil"/>
        </w:pBdr>
        <w:shd w:val="clear" w:color="auto" w:fill="FFFFFF"/>
        <w:spacing w:after="120" w:line="360" w:lineRule="auto"/>
        <w:rPr>
          <w:rFonts w:ascii="Arial" w:eastAsia="Arial" w:hAnsi="Arial" w:cs="Arial"/>
          <w:color w:val="010000"/>
          <w:sz w:val="20"/>
          <w:szCs w:val="20"/>
        </w:rPr>
      </w:pPr>
      <w:r w:rsidRPr="00E94D50">
        <w:rPr>
          <w:rFonts w:ascii="Arial" w:hAnsi="Arial" w:cs="Arial"/>
          <w:color w:val="010000"/>
          <w:sz w:val="20"/>
        </w:rPr>
        <w:t>On May 24, 2024, Kon Tum Construction Materials Supply and Production Joint Stock Company announced General Mandate No. 01/2024/DHDCD-KOVALIXA-NQ as follows:</w:t>
      </w:r>
    </w:p>
    <w:p w14:paraId="7BC87128"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 xml:space="preserve">‎‎Article 1. </w:t>
      </w:r>
      <w:r w:rsidR="00073C7F" w:rsidRPr="00E94D50">
        <w:rPr>
          <w:rFonts w:ascii="Arial" w:hAnsi="Arial" w:cs="Arial"/>
          <w:color w:val="010000"/>
          <w:sz w:val="20"/>
        </w:rPr>
        <w:t xml:space="preserve">The </w:t>
      </w:r>
      <w:r w:rsidRPr="00E94D50">
        <w:rPr>
          <w:rFonts w:ascii="Arial" w:hAnsi="Arial" w:cs="Arial"/>
          <w:color w:val="010000"/>
          <w:sz w:val="20"/>
        </w:rPr>
        <w:t>Annual General Meeting of Shareholders 2024 of Kon Tum Construction Materials Supply and Production Joint Stock Company approve</w:t>
      </w:r>
      <w:r w:rsidR="00073C7F" w:rsidRPr="00E94D50">
        <w:rPr>
          <w:rFonts w:ascii="Arial" w:hAnsi="Arial" w:cs="Arial"/>
          <w:color w:val="010000"/>
          <w:sz w:val="20"/>
        </w:rPr>
        <w:t>d</w:t>
      </w:r>
      <w:r w:rsidRPr="00E94D50">
        <w:rPr>
          <w:rFonts w:ascii="Arial" w:hAnsi="Arial" w:cs="Arial"/>
          <w:color w:val="010000"/>
          <w:sz w:val="20"/>
        </w:rPr>
        <w:t xml:space="preserve"> the following contents:</w:t>
      </w:r>
    </w:p>
    <w:p w14:paraId="53AA188C" w14:textId="1DDEFE59" w:rsidR="00091E46" w:rsidRPr="00E94D50" w:rsidRDefault="0087351D" w:rsidP="00347B71">
      <w:pPr>
        <w:numPr>
          <w:ilvl w:val="0"/>
          <w:numId w:val="2"/>
        </w:numPr>
        <w:pBdr>
          <w:top w:val="nil"/>
          <w:left w:val="nil"/>
          <w:bottom w:val="nil"/>
          <w:right w:val="nil"/>
          <w:between w:val="nil"/>
        </w:pBdr>
        <w:tabs>
          <w:tab w:val="left" w:pos="450"/>
          <w:tab w:val="left" w:pos="1933"/>
        </w:tabs>
        <w:spacing w:after="120" w:line="360" w:lineRule="auto"/>
        <w:rPr>
          <w:rFonts w:ascii="Arial" w:eastAsia="Arial" w:hAnsi="Arial" w:cs="Arial"/>
          <w:color w:val="010000"/>
          <w:sz w:val="20"/>
          <w:szCs w:val="20"/>
        </w:rPr>
      </w:pPr>
      <w:r w:rsidRPr="00E94D50">
        <w:rPr>
          <w:rFonts w:ascii="Arial" w:hAnsi="Arial" w:cs="Arial"/>
          <w:color w:val="010000"/>
          <w:sz w:val="20"/>
        </w:rPr>
        <w:t>Approve Report of the Board of Directors No. 01/2024/KOVALIXA/BC-HDQT;</w:t>
      </w:r>
    </w:p>
    <w:p w14:paraId="3F7C8701" w14:textId="77777777" w:rsidR="00091E46" w:rsidRPr="00E94D50" w:rsidRDefault="0087351D" w:rsidP="00347B71">
      <w:pPr>
        <w:numPr>
          <w:ilvl w:val="0"/>
          <w:numId w:val="2"/>
        </w:numPr>
        <w:pBdr>
          <w:top w:val="nil"/>
          <w:left w:val="nil"/>
          <w:bottom w:val="nil"/>
          <w:right w:val="nil"/>
          <w:between w:val="nil"/>
        </w:pBdr>
        <w:tabs>
          <w:tab w:val="left" w:pos="450"/>
          <w:tab w:val="left" w:pos="1958"/>
        </w:tabs>
        <w:spacing w:after="120" w:line="360" w:lineRule="auto"/>
        <w:rPr>
          <w:rFonts w:ascii="Arial" w:eastAsia="Arial" w:hAnsi="Arial" w:cs="Arial"/>
          <w:color w:val="010000"/>
          <w:sz w:val="20"/>
          <w:szCs w:val="20"/>
        </w:rPr>
      </w:pPr>
      <w:r w:rsidRPr="00E94D50">
        <w:rPr>
          <w:rFonts w:ascii="Arial" w:hAnsi="Arial" w:cs="Arial"/>
          <w:color w:val="010000"/>
          <w:sz w:val="20"/>
        </w:rPr>
        <w:t>Approve Report of the Supervisory Board No. 01/2024/KOVALIXA/BC-BKS;</w:t>
      </w:r>
    </w:p>
    <w:p w14:paraId="27540A88" w14:textId="77777777" w:rsidR="00091E46" w:rsidRPr="00E94D50" w:rsidRDefault="0087351D" w:rsidP="00347B71">
      <w:pPr>
        <w:numPr>
          <w:ilvl w:val="0"/>
          <w:numId w:val="2"/>
        </w:numPr>
        <w:pBdr>
          <w:top w:val="nil"/>
          <w:left w:val="nil"/>
          <w:bottom w:val="nil"/>
          <w:right w:val="nil"/>
          <w:between w:val="nil"/>
        </w:pBdr>
        <w:tabs>
          <w:tab w:val="left" w:pos="450"/>
          <w:tab w:val="left" w:pos="1958"/>
        </w:tabs>
        <w:spacing w:after="120" w:line="360" w:lineRule="auto"/>
        <w:rPr>
          <w:rFonts w:ascii="Arial" w:eastAsia="Arial" w:hAnsi="Arial" w:cs="Arial"/>
          <w:color w:val="010000"/>
          <w:sz w:val="20"/>
          <w:szCs w:val="20"/>
        </w:rPr>
      </w:pPr>
      <w:r w:rsidRPr="00E94D50">
        <w:rPr>
          <w:rFonts w:ascii="Arial" w:hAnsi="Arial" w:cs="Arial"/>
          <w:color w:val="010000"/>
          <w:sz w:val="20"/>
        </w:rPr>
        <w:t>Approve Report of the Board of Managers No. 01/2024/KOVALIXA/BC-BGD;</w:t>
      </w:r>
    </w:p>
    <w:p w14:paraId="5E24BCBA" w14:textId="77777777" w:rsidR="00091E46" w:rsidRPr="00E94D50" w:rsidRDefault="0087351D" w:rsidP="00347B71">
      <w:pPr>
        <w:numPr>
          <w:ilvl w:val="0"/>
          <w:numId w:val="1"/>
        </w:numPr>
        <w:pBdr>
          <w:top w:val="nil"/>
          <w:left w:val="nil"/>
          <w:bottom w:val="nil"/>
          <w:right w:val="nil"/>
          <w:between w:val="nil"/>
        </w:pBdr>
        <w:tabs>
          <w:tab w:val="left" w:pos="450"/>
          <w:tab w:val="left" w:pos="810"/>
        </w:tabs>
        <w:spacing w:after="120" w:line="360" w:lineRule="auto"/>
        <w:ind w:left="0" w:firstLine="0"/>
        <w:rPr>
          <w:rFonts w:ascii="Arial" w:eastAsia="Arial" w:hAnsi="Arial" w:cs="Arial"/>
          <w:color w:val="010000"/>
          <w:sz w:val="20"/>
          <w:szCs w:val="20"/>
        </w:rPr>
      </w:pPr>
      <w:r w:rsidRPr="00E94D50">
        <w:rPr>
          <w:rFonts w:ascii="Arial" w:hAnsi="Arial" w:cs="Arial"/>
          <w:color w:val="010000"/>
          <w:sz w:val="20"/>
        </w:rPr>
        <w:t>The production and business Results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18"/>
        <w:gridCol w:w="1556"/>
        <w:gridCol w:w="1563"/>
        <w:gridCol w:w="1563"/>
        <w:gridCol w:w="1816"/>
      </w:tblGrid>
      <w:tr w:rsidR="00091E46" w:rsidRPr="00E94D50" w14:paraId="4DBD105D" w14:textId="77777777" w:rsidTr="00347B71">
        <w:tc>
          <w:tcPr>
            <w:tcW w:w="1396" w:type="pct"/>
            <w:shd w:val="clear" w:color="auto" w:fill="auto"/>
            <w:vAlign w:val="center"/>
          </w:tcPr>
          <w:p w14:paraId="426903B0"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Consolidated targets</w:t>
            </w:r>
          </w:p>
        </w:tc>
        <w:tc>
          <w:tcPr>
            <w:tcW w:w="863" w:type="pct"/>
            <w:shd w:val="clear" w:color="auto" w:fill="auto"/>
            <w:vAlign w:val="center"/>
          </w:tcPr>
          <w:p w14:paraId="51BF41CA"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Units</w:t>
            </w:r>
          </w:p>
        </w:tc>
        <w:tc>
          <w:tcPr>
            <w:tcW w:w="867" w:type="pct"/>
            <w:shd w:val="clear" w:color="auto" w:fill="auto"/>
            <w:vAlign w:val="center"/>
          </w:tcPr>
          <w:p w14:paraId="314BCDD5"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Plan</w:t>
            </w:r>
          </w:p>
        </w:tc>
        <w:tc>
          <w:tcPr>
            <w:tcW w:w="867" w:type="pct"/>
            <w:shd w:val="clear" w:color="auto" w:fill="auto"/>
            <w:vAlign w:val="center"/>
          </w:tcPr>
          <w:p w14:paraId="442429FD"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Results</w:t>
            </w:r>
          </w:p>
        </w:tc>
        <w:tc>
          <w:tcPr>
            <w:tcW w:w="1007" w:type="pct"/>
            <w:shd w:val="clear" w:color="auto" w:fill="auto"/>
            <w:vAlign w:val="center"/>
          </w:tcPr>
          <w:p w14:paraId="3A6B9EEF"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Completion (%)</w:t>
            </w:r>
          </w:p>
        </w:tc>
      </w:tr>
      <w:tr w:rsidR="00091E46" w:rsidRPr="00E94D50" w14:paraId="14D2C83B" w14:textId="77777777" w:rsidTr="00347B71">
        <w:tc>
          <w:tcPr>
            <w:tcW w:w="1396" w:type="pct"/>
            <w:shd w:val="clear" w:color="auto" w:fill="auto"/>
            <w:vAlign w:val="center"/>
          </w:tcPr>
          <w:p w14:paraId="69299BF2"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Total revenue</w:t>
            </w:r>
          </w:p>
        </w:tc>
        <w:tc>
          <w:tcPr>
            <w:tcW w:w="863" w:type="pct"/>
            <w:shd w:val="clear" w:color="auto" w:fill="auto"/>
            <w:vAlign w:val="center"/>
          </w:tcPr>
          <w:p w14:paraId="7C507CC9"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Billion VND</w:t>
            </w:r>
          </w:p>
        </w:tc>
        <w:tc>
          <w:tcPr>
            <w:tcW w:w="867" w:type="pct"/>
            <w:shd w:val="clear" w:color="auto" w:fill="auto"/>
            <w:vAlign w:val="center"/>
          </w:tcPr>
          <w:p w14:paraId="36D01E1C"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120,000</w:t>
            </w:r>
          </w:p>
        </w:tc>
        <w:tc>
          <w:tcPr>
            <w:tcW w:w="867" w:type="pct"/>
            <w:shd w:val="clear" w:color="auto" w:fill="auto"/>
            <w:vAlign w:val="center"/>
          </w:tcPr>
          <w:p w14:paraId="691FF202" w14:textId="6967404C"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116</w:t>
            </w:r>
            <w:r w:rsidR="00E94D50" w:rsidRPr="00E94D50">
              <w:rPr>
                <w:rFonts w:ascii="Arial" w:hAnsi="Arial" w:cs="Arial"/>
                <w:color w:val="010000"/>
                <w:sz w:val="20"/>
              </w:rPr>
              <w:t>.</w:t>
            </w:r>
            <w:r w:rsidRPr="00E94D50">
              <w:rPr>
                <w:rFonts w:ascii="Arial" w:hAnsi="Arial" w:cs="Arial"/>
                <w:color w:val="010000"/>
                <w:sz w:val="20"/>
              </w:rPr>
              <w:t>8</w:t>
            </w:r>
          </w:p>
        </w:tc>
        <w:tc>
          <w:tcPr>
            <w:tcW w:w="1007" w:type="pct"/>
            <w:shd w:val="clear" w:color="auto" w:fill="auto"/>
            <w:vAlign w:val="center"/>
          </w:tcPr>
          <w:p w14:paraId="09942EC4"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97.33%</w:t>
            </w:r>
          </w:p>
        </w:tc>
      </w:tr>
      <w:tr w:rsidR="00091E46" w:rsidRPr="00E94D50" w14:paraId="02ABD085" w14:textId="77777777" w:rsidTr="00347B71">
        <w:tc>
          <w:tcPr>
            <w:tcW w:w="1396" w:type="pct"/>
            <w:shd w:val="clear" w:color="auto" w:fill="auto"/>
            <w:vAlign w:val="center"/>
          </w:tcPr>
          <w:p w14:paraId="75584DA8"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Profit after tax</w:t>
            </w:r>
          </w:p>
        </w:tc>
        <w:tc>
          <w:tcPr>
            <w:tcW w:w="863" w:type="pct"/>
            <w:shd w:val="clear" w:color="auto" w:fill="auto"/>
            <w:vAlign w:val="center"/>
          </w:tcPr>
          <w:p w14:paraId="57A81825"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Billion VND</w:t>
            </w:r>
          </w:p>
        </w:tc>
        <w:tc>
          <w:tcPr>
            <w:tcW w:w="867" w:type="pct"/>
            <w:shd w:val="clear" w:color="auto" w:fill="auto"/>
            <w:vAlign w:val="center"/>
          </w:tcPr>
          <w:p w14:paraId="66B335DB"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8,000</w:t>
            </w:r>
          </w:p>
        </w:tc>
        <w:tc>
          <w:tcPr>
            <w:tcW w:w="867" w:type="pct"/>
            <w:shd w:val="clear" w:color="auto" w:fill="auto"/>
            <w:vAlign w:val="center"/>
          </w:tcPr>
          <w:p w14:paraId="0425FA6A" w14:textId="4E44B1A6"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4</w:t>
            </w:r>
            <w:r w:rsidR="00E94D50" w:rsidRPr="00E94D50">
              <w:rPr>
                <w:rFonts w:ascii="Arial" w:hAnsi="Arial" w:cs="Arial"/>
                <w:color w:val="010000"/>
                <w:sz w:val="20"/>
              </w:rPr>
              <w:t>.</w:t>
            </w:r>
            <w:r w:rsidRPr="00E94D50">
              <w:rPr>
                <w:rFonts w:ascii="Arial" w:hAnsi="Arial" w:cs="Arial"/>
                <w:color w:val="010000"/>
                <w:sz w:val="20"/>
              </w:rPr>
              <w:t>02</w:t>
            </w:r>
          </w:p>
        </w:tc>
        <w:tc>
          <w:tcPr>
            <w:tcW w:w="1007" w:type="pct"/>
            <w:shd w:val="clear" w:color="auto" w:fill="auto"/>
            <w:vAlign w:val="center"/>
          </w:tcPr>
          <w:p w14:paraId="40045E8B"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50.25%</w:t>
            </w:r>
          </w:p>
        </w:tc>
      </w:tr>
    </w:tbl>
    <w:p w14:paraId="146B1F83" w14:textId="77777777" w:rsidR="00091E46" w:rsidRPr="00E94D50" w:rsidRDefault="0087351D" w:rsidP="00347B71">
      <w:pPr>
        <w:numPr>
          <w:ilvl w:val="0"/>
          <w:numId w:val="1"/>
        </w:numPr>
        <w:pBdr>
          <w:top w:val="nil"/>
          <w:left w:val="nil"/>
          <w:bottom w:val="nil"/>
          <w:right w:val="nil"/>
          <w:between w:val="nil"/>
        </w:pBdr>
        <w:tabs>
          <w:tab w:val="left" w:pos="450"/>
          <w:tab w:val="left" w:pos="810"/>
        </w:tabs>
        <w:spacing w:after="120" w:line="360" w:lineRule="auto"/>
        <w:ind w:left="0" w:firstLine="0"/>
        <w:rPr>
          <w:rFonts w:ascii="Arial" w:eastAsia="Arial" w:hAnsi="Arial" w:cs="Arial"/>
          <w:color w:val="010000"/>
          <w:sz w:val="20"/>
          <w:szCs w:val="20"/>
        </w:rPr>
      </w:pPr>
      <w:r w:rsidRPr="00E94D50">
        <w:rPr>
          <w:rFonts w:ascii="Arial" w:hAnsi="Arial" w:cs="Arial"/>
          <w:color w:val="010000"/>
          <w:sz w:val="20"/>
        </w:rPr>
        <w:t xml:space="preserve"> Production and business plan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27"/>
        <w:gridCol w:w="3478"/>
        <w:gridCol w:w="3011"/>
      </w:tblGrid>
      <w:tr w:rsidR="00091E46" w:rsidRPr="00E94D50" w14:paraId="00E458D5" w14:textId="77777777" w:rsidTr="00347B71">
        <w:tc>
          <w:tcPr>
            <w:tcW w:w="1401" w:type="pct"/>
            <w:shd w:val="clear" w:color="auto" w:fill="auto"/>
            <w:vAlign w:val="center"/>
          </w:tcPr>
          <w:p w14:paraId="6CA4A9F9"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Targets</w:t>
            </w:r>
          </w:p>
        </w:tc>
        <w:tc>
          <w:tcPr>
            <w:tcW w:w="1929" w:type="pct"/>
            <w:shd w:val="clear" w:color="auto" w:fill="auto"/>
            <w:vAlign w:val="center"/>
          </w:tcPr>
          <w:p w14:paraId="0419ADF2"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Unit</w:t>
            </w:r>
          </w:p>
        </w:tc>
        <w:tc>
          <w:tcPr>
            <w:tcW w:w="1670" w:type="pct"/>
            <w:shd w:val="clear" w:color="auto" w:fill="auto"/>
            <w:vAlign w:val="center"/>
          </w:tcPr>
          <w:p w14:paraId="6832D363"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Plan</w:t>
            </w:r>
          </w:p>
        </w:tc>
      </w:tr>
      <w:tr w:rsidR="00091E46" w:rsidRPr="00E94D50" w14:paraId="7F1A920D" w14:textId="77777777" w:rsidTr="00347B71">
        <w:tc>
          <w:tcPr>
            <w:tcW w:w="1401" w:type="pct"/>
            <w:shd w:val="clear" w:color="auto" w:fill="auto"/>
            <w:vAlign w:val="center"/>
          </w:tcPr>
          <w:p w14:paraId="53308B04"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Revenue</w:t>
            </w:r>
          </w:p>
        </w:tc>
        <w:tc>
          <w:tcPr>
            <w:tcW w:w="1929" w:type="pct"/>
            <w:shd w:val="clear" w:color="auto" w:fill="auto"/>
            <w:vAlign w:val="center"/>
          </w:tcPr>
          <w:p w14:paraId="0851F5AB"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Million VND</w:t>
            </w:r>
          </w:p>
        </w:tc>
        <w:tc>
          <w:tcPr>
            <w:tcW w:w="1670" w:type="pct"/>
            <w:shd w:val="clear" w:color="auto" w:fill="auto"/>
            <w:vAlign w:val="center"/>
          </w:tcPr>
          <w:p w14:paraId="4B4A5E90"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130,000</w:t>
            </w:r>
          </w:p>
        </w:tc>
      </w:tr>
      <w:tr w:rsidR="00091E46" w:rsidRPr="00E94D50" w14:paraId="79F83922" w14:textId="77777777" w:rsidTr="00347B71">
        <w:tc>
          <w:tcPr>
            <w:tcW w:w="1401" w:type="pct"/>
            <w:shd w:val="clear" w:color="auto" w:fill="auto"/>
            <w:vAlign w:val="center"/>
          </w:tcPr>
          <w:p w14:paraId="3961F176"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Profit after tax</w:t>
            </w:r>
          </w:p>
        </w:tc>
        <w:tc>
          <w:tcPr>
            <w:tcW w:w="1929" w:type="pct"/>
            <w:shd w:val="clear" w:color="auto" w:fill="auto"/>
            <w:vAlign w:val="center"/>
          </w:tcPr>
          <w:p w14:paraId="7D7915B4"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Million VND</w:t>
            </w:r>
          </w:p>
        </w:tc>
        <w:tc>
          <w:tcPr>
            <w:tcW w:w="1670" w:type="pct"/>
            <w:shd w:val="clear" w:color="auto" w:fill="auto"/>
            <w:vAlign w:val="center"/>
          </w:tcPr>
          <w:p w14:paraId="2942926D"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9,000</w:t>
            </w:r>
          </w:p>
        </w:tc>
      </w:tr>
    </w:tbl>
    <w:p w14:paraId="42B4CFE0" w14:textId="77777777" w:rsidR="00091E46" w:rsidRPr="00E94D50" w:rsidRDefault="0087351D" w:rsidP="00347B71">
      <w:pPr>
        <w:numPr>
          <w:ilvl w:val="0"/>
          <w:numId w:val="2"/>
        </w:numPr>
        <w:pBdr>
          <w:top w:val="nil"/>
          <w:left w:val="nil"/>
          <w:bottom w:val="nil"/>
          <w:right w:val="nil"/>
          <w:between w:val="nil"/>
        </w:pBdr>
        <w:tabs>
          <w:tab w:val="left" w:pos="450"/>
          <w:tab w:val="left" w:pos="1958"/>
        </w:tabs>
        <w:spacing w:after="120" w:line="360" w:lineRule="auto"/>
        <w:rPr>
          <w:rFonts w:ascii="Arial" w:eastAsia="Arial" w:hAnsi="Arial" w:cs="Arial"/>
          <w:color w:val="010000"/>
          <w:sz w:val="20"/>
          <w:szCs w:val="20"/>
        </w:rPr>
      </w:pPr>
      <w:r w:rsidRPr="00E94D50">
        <w:rPr>
          <w:rFonts w:ascii="Arial" w:hAnsi="Arial" w:cs="Arial"/>
          <w:color w:val="010000"/>
          <w:sz w:val="20"/>
        </w:rPr>
        <w:t>Approve Proposal on the Audited Financial Statements 2023 No. 01/2024/KOVALIXA/TTr-HDQT;</w:t>
      </w:r>
    </w:p>
    <w:p w14:paraId="2D97AE66" w14:textId="77777777" w:rsidR="00091E46" w:rsidRPr="00E94D50" w:rsidRDefault="0087351D" w:rsidP="00347B71">
      <w:pPr>
        <w:numPr>
          <w:ilvl w:val="0"/>
          <w:numId w:val="2"/>
        </w:numPr>
        <w:pBdr>
          <w:top w:val="nil"/>
          <w:left w:val="nil"/>
          <w:bottom w:val="nil"/>
          <w:right w:val="nil"/>
          <w:between w:val="nil"/>
        </w:pBdr>
        <w:tabs>
          <w:tab w:val="left" w:pos="450"/>
          <w:tab w:val="left" w:pos="1933"/>
        </w:tabs>
        <w:spacing w:after="120" w:line="360" w:lineRule="auto"/>
        <w:rPr>
          <w:rFonts w:ascii="Arial" w:eastAsia="Arial" w:hAnsi="Arial" w:cs="Arial"/>
          <w:color w:val="010000"/>
          <w:sz w:val="20"/>
          <w:szCs w:val="20"/>
        </w:rPr>
      </w:pPr>
      <w:r w:rsidRPr="00E94D50">
        <w:rPr>
          <w:rFonts w:ascii="Arial" w:hAnsi="Arial" w:cs="Arial"/>
          <w:color w:val="010000"/>
          <w:sz w:val="20"/>
        </w:rPr>
        <w:t>Approve Proposal on profit distribution plan 2023 No. 02/2024/KOVALIXA/TTr-HDQT;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6"/>
        <w:gridCol w:w="5785"/>
        <w:gridCol w:w="2265"/>
      </w:tblGrid>
      <w:tr w:rsidR="00091E46" w:rsidRPr="00E94D50" w14:paraId="7BDA524D" w14:textId="77777777" w:rsidTr="00347B71">
        <w:tc>
          <w:tcPr>
            <w:tcW w:w="536" w:type="pct"/>
            <w:shd w:val="clear" w:color="auto" w:fill="auto"/>
            <w:vAlign w:val="center"/>
          </w:tcPr>
          <w:p w14:paraId="2F0A59B8"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No.</w:t>
            </w:r>
          </w:p>
        </w:tc>
        <w:tc>
          <w:tcPr>
            <w:tcW w:w="3208" w:type="pct"/>
            <w:shd w:val="clear" w:color="auto" w:fill="auto"/>
            <w:vAlign w:val="center"/>
          </w:tcPr>
          <w:p w14:paraId="3B20B971"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Content</w:t>
            </w:r>
          </w:p>
        </w:tc>
        <w:tc>
          <w:tcPr>
            <w:tcW w:w="1256" w:type="pct"/>
            <w:shd w:val="clear" w:color="auto" w:fill="auto"/>
            <w:vAlign w:val="center"/>
          </w:tcPr>
          <w:p w14:paraId="7176F678"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Amount (VND)</w:t>
            </w:r>
          </w:p>
        </w:tc>
      </w:tr>
      <w:tr w:rsidR="00091E46" w:rsidRPr="00E94D50" w14:paraId="31F756F1" w14:textId="77777777" w:rsidTr="00347B71">
        <w:tc>
          <w:tcPr>
            <w:tcW w:w="536" w:type="pct"/>
            <w:shd w:val="clear" w:color="auto" w:fill="auto"/>
            <w:vAlign w:val="center"/>
          </w:tcPr>
          <w:p w14:paraId="019445CB"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1</w:t>
            </w:r>
          </w:p>
        </w:tc>
        <w:tc>
          <w:tcPr>
            <w:tcW w:w="3208" w:type="pct"/>
            <w:shd w:val="clear" w:color="auto" w:fill="auto"/>
            <w:vAlign w:val="center"/>
          </w:tcPr>
          <w:p w14:paraId="30462CED"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Profit after tax in 2023</w:t>
            </w:r>
          </w:p>
        </w:tc>
        <w:tc>
          <w:tcPr>
            <w:tcW w:w="1256" w:type="pct"/>
            <w:shd w:val="clear" w:color="auto" w:fill="auto"/>
            <w:vAlign w:val="center"/>
          </w:tcPr>
          <w:p w14:paraId="0F365213"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4,104,317,736</w:t>
            </w:r>
          </w:p>
        </w:tc>
      </w:tr>
      <w:tr w:rsidR="00091E46" w:rsidRPr="00E94D50" w14:paraId="355D79F7" w14:textId="77777777" w:rsidTr="00347B71">
        <w:tc>
          <w:tcPr>
            <w:tcW w:w="536" w:type="pct"/>
            <w:shd w:val="clear" w:color="auto" w:fill="auto"/>
            <w:vAlign w:val="center"/>
          </w:tcPr>
          <w:p w14:paraId="78CF27F0"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2</w:t>
            </w:r>
          </w:p>
        </w:tc>
        <w:tc>
          <w:tcPr>
            <w:tcW w:w="3208" w:type="pct"/>
            <w:shd w:val="clear" w:color="auto" w:fill="auto"/>
            <w:vAlign w:val="center"/>
          </w:tcPr>
          <w:p w14:paraId="3E3C1637"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Appropriation for funds</w:t>
            </w:r>
          </w:p>
        </w:tc>
        <w:tc>
          <w:tcPr>
            <w:tcW w:w="1256" w:type="pct"/>
            <w:shd w:val="clear" w:color="auto" w:fill="auto"/>
            <w:vAlign w:val="center"/>
          </w:tcPr>
          <w:p w14:paraId="222D0D21"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0</w:t>
            </w:r>
          </w:p>
        </w:tc>
      </w:tr>
      <w:tr w:rsidR="00091E46" w:rsidRPr="00E94D50" w14:paraId="75850F45" w14:textId="77777777" w:rsidTr="00347B71">
        <w:tc>
          <w:tcPr>
            <w:tcW w:w="536" w:type="pct"/>
            <w:shd w:val="clear" w:color="auto" w:fill="auto"/>
            <w:vAlign w:val="center"/>
          </w:tcPr>
          <w:p w14:paraId="5E1CBD70"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3</w:t>
            </w:r>
          </w:p>
        </w:tc>
        <w:tc>
          <w:tcPr>
            <w:tcW w:w="3208" w:type="pct"/>
            <w:shd w:val="clear" w:color="auto" w:fill="auto"/>
            <w:vAlign w:val="center"/>
          </w:tcPr>
          <w:p w14:paraId="0F9C612F"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Profit after tax after appropriation for funds 2021 (1-2)</w:t>
            </w:r>
          </w:p>
        </w:tc>
        <w:tc>
          <w:tcPr>
            <w:tcW w:w="1256" w:type="pct"/>
            <w:shd w:val="clear" w:color="auto" w:fill="auto"/>
            <w:vAlign w:val="center"/>
          </w:tcPr>
          <w:p w14:paraId="7D490656"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4,104,317,736</w:t>
            </w:r>
          </w:p>
        </w:tc>
      </w:tr>
      <w:tr w:rsidR="00091E46" w:rsidRPr="00E94D50" w14:paraId="67E30F5D" w14:textId="77777777" w:rsidTr="00347B71">
        <w:tc>
          <w:tcPr>
            <w:tcW w:w="536" w:type="pct"/>
            <w:shd w:val="clear" w:color="auto" w:fill="auto"/>
            <w:vAlign w:val="center"/>
          </w:tcPr>
          <w:p w14:paraId="0CA7B7FD"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4</w:t>
            </w:r>
          </w:p>
        </w:tc>
        <w:tc>
          <w:tcPr>
            <w:tcW w:w="3208" w:type="pct"/>
            <w:shd w:val="clear" w:color="auto" w:fill="auto"/>
            <w:vAlign w:val="center"/>
          </w:tcPr>
          <w:p w14:paraId="194A2A5F" w14:textId="3C600100"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 xml:space="preserve">Undistributed profit </w:t>
            </w:r>
            <w:r w:rsidR="00E94D50" w:rsidRPr="00E94D50">
              <w:rPr>
                <w:rFonts w:ascii="Arial" w:hAnsi="Arial" w:cs="Arial"/>
                <w:color w:val="010000"/>
                <w:sz w:val="20"/>
              </w:rPr>
              <w:t xml:space="preserve">in </w:t>
            </w:r>
            <w:r w:rsidRPr="00E94D50">
              <w:rPr>
                <w:rFonts w:ascii="Arial" w:hAnsi="Arial" w:cs="Arial"/>
                <w:color w:val="010000"/>
                <w:sz w:val="20"/>
              </w:rPr>
              <w:t>the previous years</w:t>
            </w:r>
          </w:p>
        </w:tc>
        <w:tc>
          <w:tcPr>
            <w:tcW w:w="1256" w:type="pct"/>
            <w:shd w:val="clear" w:color="auto" w:fill="auto"/>
            <w:vAlign w:val="center"/>
          </w:tcPr>
          <w:p w14:paraId="4D484099"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20,081,811,582</w:t>
            </w:r>
          </w:p>
        </w:tc>
      </w:tr>
      <w:tr w:rsidR="00091E46" w:rsidRPr="00E94D50" w14:paraId="4AC2FEFC" w14:textId="77777777" w:rsidTr="00347B71">
        <w:tc>
          <w:tcPr>
            <w:tcW w:w="536" w:type="pct"/>
            <w:shd w:val="clear" w:color="auto" w:fill="auto"/>
            <w:vAlign w:val="center"/>
          </w:tcPr>
          <w:p w14:paraId="0CD13E33"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5</w:t>
            </w:r>
          </w:p>
        </w:tc>
        <w:tc>
          <w:tcPr>
            <w:tcW w:w="3208" w:type="pct"/>
            <w:shd w:val="clear" w:color="auto" w:fill="auto"/>
            <w:vAlign w:val="center"/>
          </w:tcPr>
          <w:p w14:paraId="524BF515"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Undistributed profit (=3+4)</w:t>
            </w:r>
          </w:p>
        </w:tc>
        <w:tc>
          <w:tcPr>
            <w:tcW w:w="1256" w:type="pct"/>
            <w:shd w:val="clear" w:color="auto" w:fill="auto"/>
            <w:vAlign w:val="center"/>
          </w:tcPr>
          <w:p w14:paraId="4705F634"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24,097,218,152</w:t>
            </w:r>
          </w:p>
        </w:tc>
      </w:tr>
      <w:tr w:rsidR="00091E46" w:rsidRPr="00E94D50" w14:paraId="1118B5EB" w14:textId="77777777" w:rsidTr="00347B71">
        <w:tc>
          <w:tcPr>
            <w:tcW w:w="536" w:type="pct"/>
            <w:shd w:val="clear" w:color="auto" w:fill="auto"/>
            <w:vAlign w:val="center"/>
          </w:tcPr>
          <w:p w14:paraId="35BCD813"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6</w:t>
            </w:r>
          </w:p>
        </w:tc>
        <w:tc>
          <w:tcPr>
            <w:tcW w:w="3208" w:type="pct"/>
            <w:shd w:val="clear" w:color="auto" w:fill="auto"/>
            <w:vAlign w:val="center"/>
          </w:tcPr>
          <w:p w14:paraId="28BA122B"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Dividend payment</w:t>
            </w:r>
          </w:p>
        </w:tc>
        <w:tc>
          <w:tcPr>
            <w:tcW w:w="1256" w:type="pct"/>
            <w:shd w:val="clear" w:color="auto" w:fill="auto"/>
            <w:vAlign w:val="center"/>
          </w:tcPr>
          <w:p w14:paraId="0557B71E"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0</w:t>
            </w:r>
          </w:p>
        </w:tc>
      </w:tr>
      <w:tr w:rsidR="00091E46" w:rsidRPr="00E94D50" w14:paraId="52DE4202" w14:textId="77777777" w:rsidTr="00347B71">
        <w:tc>
          <w:tcPr>
            <w:tcW w:w="536" w:type="pct"/>
            <w:shd w:val="clear" w:color="auto" w:fill="auto"/>
            <w:vAlign w:val="center"/>
          </w:tcPr>
          <w:p w14:paraId="7C07BECD" w14:textId="77777777" w:rsidR="00091E46" w:rsidRPr="00E94D50" w:rsidRDefault="0087351D" w:rsidP="00347B71">
            <w:pPr>
              <w:pBdr>
                <w:top w:val="nil"/>
                <w:left w:val="nil"/>
                <w:bottom w:val="nil"/>
                <w:right w:val="nil"/>
                <w:between w:val="nil"/>
              </w:pBdr>
              <w:spacing w:after="120" w:line="360" w:lineRule="auto"/>
              <w:jc w:val="center"/>
              <w:rPr>
                <w:rFonts w:ascii="Arial" w:eastAsia="Arial" w:hAnsi="Arial" w:cs="Arial"/>
                <w:color w:val="010000"/>
                <w:sz w:val="20"/>
                <w:szCs w:val="20"/>
              </w:rPr>
            </w:pPr>
            <w:r w:rsidRPr="00E94D50">
              <w:rPr>
                <w:rFonts w:ascii="Arial" w:hAnsi="Arial" w:cs="Arial"/>
                <w:color w:val="010000"/>
                <w:sz w:val="20"/>
              </w:rPr>
              <w:t>7</w:t>
            </w:r>
          </w:p>
        </w:tc>
        <w:tc>
          <w:tcPr>
            <w:tcW w:w="3208" w:type="pct"/>
            <w:shd w:val="clear" w:color="auto" w:fill="auto"/>
            <w:vAlign w:val="center"/>
          </w:tcPr>
          <w:p w14:paraId="502FB4C9" w14:textId="7CBBE78D" w:rsidR="00091E46" w:rsidRPr="00E94D50" w:rsidRDefault="00E94D50"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 xml:space="preserve">Retained </w:t>
            </w:r>
            <w:r w:rsidR="0087351D" w:rsidRPr="00E94D50">
              <w:rPr>
                <w:rFonts w:ascii="Arial" w:hAnsi="Arial" w:cs="Arial"/>
                <w:color w:val="010000"/>
                <w:sz w:val="20"/>
              </w:rPr>
              <w:t>profit (=5+6)</w:t>
            </w:r>
          </w:p>
        </w:tc>
        <w:tc>
          <w:tcPr>
            <w:tcW w:w="1256" w:type="pct"/>
            <w:shd w:val="clear" w:color="auto" w:fill="auto"/>
            <w:vAlign w:val="center"/>
          </w:tcPr>
          <w:p w14:paraId="513755AA"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24,097,218,152</w:t>
            </w:r>
          </w:p>
        </w:tc>
      </w:tr>
    </w:tbl>
    <w:p w14:paraId="33972C1B" w14:textId="75F00E62" w:rsidR="00091E46" w:rsidRPr="00E94D50" w:rsidRDefault="0087351D" w:rsidP="00347B71">
      <w:pPr>
        <w:numPr>
          <w:ilvl w:val="0"/>
          <w:numId w:val="2"/>
        </w:numPr>
        <w:pBdr>
          <w:top w:val="nil"/>
          <w:left w:val="nil"/>
          <w:bottom w:val="nil"/>
          <w:right w:val="nil"/>
          <w:between w:val="nil"/>
        </w:pBdr>
        <w:tabs>
          <w:tab w:val="left" w:pos="450"/>
          <w:tab w:val="left" w:pos="1933"/>
        </w:tabs>
        <w:spacing w:after="120" w:line="360" w:lineRule="auto"/>
        <w:rPr>
          <w:rFonts w:ascii="Arial" w:eastAsia="Arial" w:hAnsi="Arial" w:cs="Arial"/>
          <w:color w:val="010000"/>
          <w:sz w:val="20"/>
          <w:szCs w:val="20"/>
        </w:rPr>
      </w:pPr>
      <w:r w:rsidRPr="00E94D50">
        <w:rPr>
          <w:rFonts w:ascii="Arial" w:hAnsi="Arial" w:cs="Arial"/>
          <w:color w:val="010000"/>
          <w:sz w:val="20"/>
        </w:rPr>
        <w:t>Approve Proposal</w:t>
      </w:r>
      <w:r w:rsidR="00E94D50" w:rsidRPr="00E94D50">
        <w:rPr>
          <w:rFonts w:ascii="Arial" w:hAnsi="Arial" w:cs="Arial"/>
          <w:color w:val="010000"/>
          <w:sz w:val="20"/>
        </w:rPr>
        <w:t xml:space="preserve"> No. 03/2024/KOVALIXA/TTr-HDQT</w:t>
      </w:r>
      <w:r w:rsidRPr="00E94D50">
        <w:rPr>
          <w:rFonts w:ascii="Arial" w:hAnsi="Arial" w:cs="Arial"/>
          <w:color w:val="010000"/>
          <w:sz w:val="20"/>
        </w:rPr>
        <w:t xml:space="preserve"> on remuneration settlement plan for the Board of Directors, the Supervisory Board 2023 and plan 2024;</w:t>
      </w:r>
    </w:p>
    <w:p w14:paraId="4983D86E" w14:textId="77777777" w:rsidR="00091E46" w:rsidRPr="00E94D50" w:rsidRDefault="0087351D" w:rsidP="00347B71">
      <w:pPr>
        <w:numPr>
          <w:ilvl w:val="0"/>
          <w:numId w:val="2"/>
        </w:numPr>
        <w:pBdr>
          <w:top w:val="nil"/>
          <w:left w:val="nil"/>
          <w:bottom w:val="nil"/>
          <w:right w:val="nil"/>
          <w:between w:val="nil"/>
        </w:pBdr>
        <w:tabs>
          <w:tab w:val="left" w:pos="450"/>
          <w:tab w:val="left" w:pos="1955"/>
        </w:tabs>
        <w:spacing w:after="120" w:line="360" w:lineRule="auto"/>
        <w:rPr>
          <w:rFonts w:ascii="Arial" w:eastAsia="Arial" w:hAnsi="Arial" w:cs="Arial"/>
          <w:color w:val="010000"/>
          <w:sz w:val="20"/>
          <w:szCs w:val="20"/>
        </w:rPr>
      </w:pPr>
      <w:r w:rsidRPr="00E94D50">
        <w:rPr>
          <w:rFonts w:ascii="Arial" w:hAnsi="Arial" w:cs="Arial"/>
          <w:color w:val="010000"/>
          <w:sz w:val="20"/>
        </w:rPr>
        <w:t xml:space="preserve">Approve Proposal on </w:t>
      </w:r>
      <w:r w:rsidR="00073C7F" w:rsidRPr="00E94D50">
        <w:rPr>
          <w:rFonts w:ascii="Arial" w:hAnsi="Arial" w:cs="Arial"/>
          <w:color w:val="010000"/>
          <w:sz w:val="20"/>
        </w:rPr>
        <w:t xml:space="preserve">the plan on selecting </w:t>
      </w:r>
      <w:r w:rsidRPr="00E94D50">
        <w:rPr>
          <w:rFonts w:ascii="Arial" w:hAnsi="Arial" w:cs="Arial"/>
          <w:color w:val="010000"/>
          <w:sz w:val="20"/>
        </w:rPr>
        <w:t>audit company 2024 No. 04/2024/KOVALIXA/TTr-HDQT;</w:t>
      </w:r>
    </w:p>
    <w:p w14:paraId="6212DEE2" w14:textId="77777777" w:rsidR="00073C7F" w:rsidRPr="00E94D50" w:rsidRDefault="0087351D" w:rsidP="00347B71">
      <w:pPr>
        <w:numPr>
          <w:ilvl w:val="0"/>
          <w:numId w:val="2"/>
        </w:numPr>
        <w:pBdr>
          <w:top w:val="nil"/>
          <w:left w:val="nil"/>
          <w:bottom w:val="nil"/>
          <w:right w:val="nil"/>
          <w:between w:val="nil"/>
        </w:pBdr>
        <w:tabs>
          <w:tab w:val="left" w:pos="450"/>
          <w:tab w:val="left" w:pos="1933"/>
        </w:tabs>
        <w:spacing w:after="120" w:line="360" w:lineRule="auto"/>
        <w:rPr>
          <w:rFonts w:ascii="Arial" w:eastAsia="Arial" w:hAnsi="Arial" w:cs="Arial"/>
          <w:color w:val="010000"/>
          <w:sz w:val="20"/>
          <w:szCs w:val="20"/>
        </w:rPr>
      </w:pPr>
      <w:r w:rsidRPr="00E94D50">
        <w:rPr>
          <w:rFonts w:ascii="Arial" w:hAnsi="Arial" w:cs="Arial"/>
          <w:color w:val="010000"/>
          <w:sz w:val="20"/>
        </w:rPr>
        <w:lastRenderedPageBreak/>
        <w:t>Approve Proposal No. 05/2024/KOVALIXA/TTr-HDQT on changing the Company’s head office;</w:t>
      </w:r>
    </w:p>
    <w:p w14:paraId="08FD65A9" w14:textId="77777777" w:rsidR="00091E46" w:rsidRPr="00E94D50" w:rsidRDefault="0087351D" w:rsidP="00347B71">
      <w:pPr>
        <w:numPr>
          <w:ilvl w:val="0"/>
          <w:numId w:val="2"/>
        </w:numPr>
        <w:pBdr>
          <w:top w:val="nil"/>
          <w:left w:val="nil"/>
          <w:bottom w:val="nil"/>
          <w:right w:val="nil"/>
          <w:between w:val="nil"/>
        </w:pBdr>
        <w:tabs>
          <w:tab w:val="left" w:pos="450"/>
          <w:tab w:val="left" w:pos="1933"/>
        </w:tabs>
        <w:spacing w:after="120" w:line="360" w:lineRule="auto"/>
        <w:rPr>
          <w:rFonts w:ascii="Arial" w:eastAsia="Arial" w:hAnsi="Arial" w:cs="Arial"/>
          <w:color w:val="010000"/>
          <w:sz w:val="20"/>
          <w:szCs w:val="20"/>
        </w:rPr>
      </w:pPr>
      <w:r w:rsidRPr="00E94D50">
        <w:rPr>
          <w:rFonts w:ascii="Arial" w:hAnsi="Arial" w:cs="Arial"/>
          <w:color w:val="010000"/>
          <w:sz w:val="20"/>
        </w:rPr>
        <w:t>Approve Proposal No. 06/2024/KOVALIXA/TTr-HDQT on divestment from Mai Son Lam Trading Joint Stock Company;</w:t>
      </w:r>
    </w:p>
    <w:p w14:paraId="7C31CAE6" w14:textId="77777777" w:rsidR="00091E46" w:rsidRPr="00E94D50" w:rsidRDefault="0087351D" w:rsidP="00347B71">
      <w:pPr>
        <w:numPr>
          <w:ilvl w:val="0"/>
          <w:numId w:val="2"/>
        </w:numPr>
        <w:pBdr>
          <w:top w:val="nil"/>
          <w:left w:val="nil"/>
          <w:bottom w:val="nil"/>
          <w:right w:val="nil"/>
          <w:between w:val="nil"/>
        </w:pBdr>
        <w:tabs>
          <w:tab w:val="left" w:pos="450"/>
          <w:tab w:val="left" w:pos="1933"/>
        </w:tabs>
        <w:spacing w:after="120" w:line="360" w:lineRule="auto"/>
        <w:rPr>
          <w:rFonts w:ascii="Arial" w:eastAsia="Arial" w:hAnsi="Arial" w:cs="Arial"/>
          <w:color w:val="010000"/>
          <w:sz w:val="20"/>
          <w:szCs w:val="20"/>
        </w:rPr>
      </w:pPr>
      <w:r w:rsidRPr="00E94D50">
        <w:rPr>
          <w:rFonts w:ascii="Arial" w:hAnsi="Arial" w:cs="Arial"/>
          <w:color w:val="010000"/>
          <w:sz w:val="20"/>
        </w:rPr>
        <w:t>Approve Proposal No. 07/2024/KOVALIXA/TTr-HDQT on establishment of the subsidiary;</w:t>
      </w:r>
    </w:p>
    <w:p w14:paraId="1D41D6D6" w14:textId="77777777" w:rsidR="00091E46" w:rsidRPr="00E94D50" w:rsidRDefault="0087351D" w:rsidP="00347B71">
      <w:pPr>
        <w:numPr>
          <w:ilvl w:val="0"/>
          <w:numId w:val="2"/>
        </w:numPr>
        <w:pBdr>
          <w:top w:val="nil"/>
          <w:left w:val="nil"/>
          <w:bottom w:val="nil"/>
          <w:right w:val="nil"/>
          <w:between w:val="nil"/>
        </w:pBdr>
        <w:tabs>
          <w:tab w:val="left" w:pos="450"/>
          <w:tab w:val="left" w:pos="1933"/>
        </w:tabs>
        <w:spacing w:after="120" w:line="360" w:lineRule="auto"/>
        <w:rPr>
          <w:rFonts w:ascii="Arial" w:eastAsia="Arial" w:hAnsi="Arial" w:cs="Arial"/>
          <w:color w:val="010000"/>
          <w:sz w:val="20"/>
          <w:szCs w:val="20"/>
        </w:rPr>
      </w:pPr>
      <w:r w:rsidRPr="00E94D50">
        <w:rPr>
          <w:rFonts w:ascii="Arial" w:hAnsi="Arial" w:cs="Arial"/>
          <w:color w:val="010000"/>
          <w:sz w:val="20"/>
        </w:rPr>
        <w:t>Approve Proposal No. 08/2024/KOVALIXA/TTr-HDQT on election of Members of the Board of Directors, the Supervisory Board for the term 2024-2029.</w:t>
      </w:r>
    </w:p>
    <w:p w14:paraId="01DB9E32" w14:textId="20B04EF2"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 xml:space="preserve">Mr./Ms.: Le Quang Thach, Nguyen Tuan Linh, Phan Thu Thuy, Duong Quoc Chi, Luu Thi San are elected </w:t>
      </w:r>
      <w:r w:rsidR="00E94D50" w:rsidRPr="00E94D50">
        <w:rPr>
          <w:rFonts w:ascii="Arial" w:hAnsi="Arial" w:cs="Arial"/>
          <w:color w:val="010000"/>
          <w:sz w:val="20"/>
        </w:rPr>
        <w:t>to</w:t>
      </w:r>
      <w:r w:rsidRPr="00E94D50">
        <w:rPr>
          <w:rFonts w:ascii="Arial" w:hAnsi="Arial" w:cs="Arial"/>
          <w:color w:val="010000"/>
          <w:sz w:val="20"/>
        </w:rPr>
        <w:t xml:space="preserve"> the Kon Tum Construction Materials Supply and Production Joint Stock Company’s Board of Directors for the term 2024-2029 from May 24, 2024. </w:t>
      </w:r>
    </w:p>
    <w:p w14:paraId="61509E75" w14:textId="52C0C724"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 xml:space="preserve">Mr./Ms.: Nguyen Thi Thanh Huyen, Vu Thi Kim Oanh, Hoang Thi Nhan are elected </w:t>
      </w:r>
      <w:r w:rsidR="00E94D50" w:rsidRPr="00E94D50">
        <w:rPr>
          <w:rFonts w:ascii="Arial" w:hAnsi="Arial" w:cs="Arial"/>
          <w:color w:val="010000"/>
          <w:sz w:val="20"/>
        </w:rPr>
        <w:t>to</w:t>
      </w:r>
      <w:r w:rsidRPr="00E94D50">
        <w:rPr>
          <w:rFonts w:ascii="Arial" w:hAnsi="Arial" w:cs="Arial"/>
          <w:color w:val="010000"/>
          <w:sz w:val="20"/>
        </w:rPr>
        <w:t xml:space="preserve"> the Kon Tum Construction Materials Supply and Production Joint Stock Company’s Supervisory Board for the term 2024-2029 from May 24, 2024.</w:t>
      </w:r>
    </w:p>
    <w:p w14:paraId="6CDBD47B"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‎‎Article 2. Terms of enforcement</w:t>
      </w:r>
    </w:p>
    <w:p w14:paraId="48736BB1" w14:textId="77777777" w:rsidR="00091E46" w:rsidRPr="00E94D50" w:rsidRDefault="00073C7F"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 xml:space="preserve">The </w:t>
      </w:r>
      <w:r w:rsidR="0087351D" w:rsidRPr="00E94D50">
        <w:rPr>
          <w:rFonts w:ascii="Arial" w:hAnsi="Arial" w:cs="Arial"/>
          <w:color w:val="010000"/>
          <w:sz w:val="20"/>
        </w:rPr>
        <w:t>General Mandate is approved by the General Meeting of Shareholders and takes effect from the date of its signing.</w:t>
      </w:r>
    </w:p>
    <w:p w14:paraId="0EF74CA1" w14:textId="77777777" w:rsidR="00091E46" w:rsidRPr="00E94D50" w:rsidRDefault="0087351D" w:rsidP="00347B71">
      <w:pPr>
        <w:pBdr>
          <w:top w:val="nil"/>
          <w:left w:val="nil"/>
          <w:bottom w:val="nil"/>
          <w:right w:val="nil"/>
          <w:between w:val="nil"/>
        </w:pBdr>
        <w:spacing w:after="120" w:line="360" w:lineRule="auto"/>
        <w:rPr>
          <w:rFonts w:ascii="Arial" w:eastAsia="Arial" w:hAnsi="Arial" w:cs="Arial"/>
          <w:color w:val="010000"/>
          <w:sz w:val="20"/>
          <w:szCs w:val="20"/>
        </w:rPr>
      </w:pPr>
      <w:r w:rsidRPr="00E94D50">
        <w:rPr>
          <w:rFonts w:ascii="Arial" w:hAnsi="Arial" w:cs="Arial"/>
          <w:color w:val="010000"/>
          <w:sz w:val="20"/>
        </w:rPr>
        <w:t xml:space="preserve">Members of the Board of Directors, the Supervisory Board, the Board of Managers and affiliated persons of Kon Tum Construction Materials Supply and Production Joint Stock Company take responsibility for implementing tasks assigned by </w:t>
      </w:r>
      <w:r w:rsidR="00073C7F" w:rsidRPr="00E94D50">
        <w:rPr>
          <w:rFonts w:ascii="Arial" w:hAnsi="Arial" w:cs="Arial"/>
          <w:color w:val="010000"/>
          <w:sz w:val="20"/>
        </w:rPr>
        <w:t xml:space="preserve">the </w:t>
      </w:r>
      <w:r w:rsidRPr="00E94D50">
        <w:rPr>
          <w:rFonts w:ascii="Arial" w:hAnsi="Arial" w:cs="Arial"/>
          <w:color w:val="010000"/>
          <w:sz w:val="20"/>
        </w:rPr>
        <w:t xml:space="preserve">General Meeting of Shareholders in this Mandate </w:t>
      </w:r>
      <w:r w:rsidR="00073C7F" w:rsidRPr="00E94D50">
        <w:rPr>
          <w:rFonts w:ascii="Arial" w:hAnsi="Arial" w:cs="Arial"/>
          <w:color w:val="010000"/>
          <w:sz w:val="20"/>
        </w:rPr>
        <w:t>ensuring shareholder</w:t>
      </w:r>
      <w:r w:rsidRPr="00E94D50">
        <w:rPr>
          <w:rFonts w:ascii="Arial" w:hAnsi="Arial" w:cs="Arial"/>
          <w:color w:val="010000"/>
          <w:sz w:val="20"/>
        </w:rPr>
        <w:t>’s interests of the Company and adhering to the provisions of law.</w:t>
      </w:r>
    </w:p>
    <w:sectPr w:rsidR="00091E46" w:rsidRPr="00E94D50" w:rsidSect="00347B71">
      <w:headerReference w:type="default" r:id="rId8"/>
      <w:pgSz w:w="11906" w:h="16838"/>
      <w:pgMar w:top="1440" w:right="1440" w:bottom="1440" w:left="1440" w:header="0" w:footer="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D5980" w14:textId="77777777" w:rsidR="0014550D" w:rsidRDefault="0014550D">
      <w:r>
        <w:separator/>
      </w:r>
    </w:p>
  </w:endnote>
  <w:endnote w:type="continuationSeparator" w:id="0">
    <w:p w14:paraId="1BB84F46" w14:textId="77777777" w:rsidR="0014550D" w:rsidRDefault="0014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17337" w14:textId="77777777" w:rsidR="0014550D" w:rsidRDefault="0014550D">
      <w:r>
        <w:separator/>
      </w:r>
    </w:p>
  </w:footnote>
  <w:footnote w:type="continuationSeparator" w:id="0">
    <w:p w14:paraId="765AF505" w14:textId="77777777" w:rsidR="0014550D" w:rsidRDefault="00145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4EE8" w14:textId="77777777" w:rsidR="00091E46" w:rsidRDefault="00091E46">
    <w:pP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47549"/>
    <w:multiLevelType w:val="multilevel"/>
    <w:tmpl w:val="1410163A"/>
    <w:lvl w:ilvl="0">
      <w:start w:val="1"/>
      <w:numFmt w:val="decimal"/>
      <w:lvlText w:val="%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FDD5EA5"/>
    <w:multiLevelType w:val="multilevel"/>
    <w:tmpl w:val="D6DC5B6E"/>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46"/>
    <w:rsid w:val="00073C7F"/>
    <w:rsid w:val="00091E46"/>
    <w:rsid w:val="0014550D"/>
    <w:rsid w:val="00347B71"/>
    <w:rsid w:val="00854B69"/>
    <w:rsid w:val="00870EBE"/>
    <w:rsid w:val="0087351D"/>
    <w:rsid w:val="00BE784A"/>
    <w:rsid w:val="00DB152F"/>
    <w:rsid w:val="00DF75BB"/>
    <w:rsid w:val="00E94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5AA99"/>
  <w15:docId w15:val="{1192181A-4449-4C19-9D86-558F47BC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12"/>
      <w:szCs w:val="12"/>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18"/>
      <w:szCs w:val="18"/>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color w:val="BE989E"/>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rPr>
  </w:style>
  <w:style w:type="paragraph" w:styleId="BodyText">
    <w:name w:val="Body Text"/>
    <w:basedOn w:val="Normal"/>
    <w:link w:val="BodyTextChar"/>
    <w:qFormat/>
    <w:pPr>
      <w:shd w:val="clear" w:color="auto" w:fill="FFFFFF"/>
      <w:spacing w:line="283" w:lineRule="auto"/>
      <w:ind w:firstLine="10"/>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1">
    <w:name w:val="Heading #1"/>
    <w:basedOn w:val="Normal"/>
    <w:link w:val="Heading10"/>
    <w:pPr>
      <w:shd w:val="clear" w:color="auto" w:fill="FFFFFF"/>
      <w:spacing w:line="262" w:lineRule="auto"/>
      <w:ind w:left="980"/>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line="190" w:lineRule="auto"/>
    </w:pPr>
    <w:rPr>
      <w:rFonts w:ascii="Arial" w:eastAsia="Arial" w:hAnsi="Arial" w:cs="Arial"/>
      <w:b/>
      <w:bCs/>
      <w:sz w:val="12"/>
      <w:szCs w:val="12"/>
    </w:rPr>
  </w:style>
  <w:style w:type="paragraph" w:customStyle="1" w:styleId="Bodytext40">
    <w:name w:val="Body text (4)"/>
    <w:basedOn w:val="Normal"/>
    <w:link w:val="Bodytext4"/>
    <w:pPr>
      <w:shd w:val="clear" w:color="auto" w:fill="FFFFFF"/>
    </w:pPr>
    <w:rPr>
      <w:rFonts w:ascii="Arial" w:eastAsia="Arial" w:hAnsi="Arial" w:cs="Arial"/>
      <w:b/>
      <w:bCs/>
      <w:sz w:val="18"/>
      <w:szCs w:val="18"/>
    </w:rPr>
  </w:style>
  <w:style w:type="paragraph" w:customStyle="1" w:styleId="Picturecaption0">
    <w:name w:val="Picture caption"/>
    <w:basedOn w:val="Normal"/>
    <w:link w:val="Picturecaption"/>
    <w:pPr>
      <w:shd w:val="clear" w:color="auto" w:fill="FFFFFF"/>
      <w:spacing w:line="223" w:lineRule="auto"/>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pPr>
    <w:rPr>
      <w:rFonts w:ascii="Tahoma" w:eastAsia="Tahoma" w:hAnsi="Tahoma" w:cs="Tahoma"/>
      <w:color w:val="BE989E"/>
      <w:sz w:val="16"/>
      <w:szCs w:val="16"/>
    </w:rPr>
  </w:style>
  <w:style w:type="paragraph" w:customStyle="1" w:styleId="Other0">
    <w:name w:val="Other"/>
    <w:basedOn w:val="Normal"/>
    <w:link w:val="Other"/>
    <w:pPr>
      <w:shd w:val="clear" w:color="auto" w:fill="FFFFFF"/>
      <w:spacing w:line="283" w:lineRule="auto"/>
      <w:ind w:firstLine="10"/>
    </w:pPr>
    <w:rPr>
      <w:rFonts w:ascii="Times New Roman" w:eastAsia="Times New Roman" w:hAnsi="Times New Roman" w:cs="Times New Roman"/>
      <w:sz w:val="22"/>
      <w:szCs w:val="22"/>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ZxxKnQaXpYpEoyL0xMqcI6URhg==">CgMxLjA4AHIhMWEydVdVeWJ0TUlwTnAyVWFpTmhWcUUteWsxUi1YcG9N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Thi Thu Giang</cp:lastModifiedBy>
  <cp:revision>2</cp:revision>
  <dcterms:created xsi:type="dcterms:W3CDTF">2024-05-30T03:25:00Z</dcterms:created>
  <dcterms:modified xsi:type="dcterms:W3CDTF">2024-05-30T03:25:00Z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542d1e18b6f39a9aea207a24e0275e8fdb1ebca9debcfa110385990a72090436</vt:lpwstr>
  </property>
</Properties>
</file>