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8A521"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4134F9">
        <w:rPr>
          <w:rFonts w:ascii="Arial" w:hAnsi="Arial" w:cs="Arial"/>
          <w:b/>
          <w:color w:val="010000"/>
          <w:sz w:val="20"/>
          <w:szCs w:val="20"/>
        </w:rPr>
        <w:t xml:space="preserve">ATG: </w:t>
      </w:r>
      <w:r w:rsidR="0088249F" w:rsidRPr="004134F9">
        <w:rPr>
          <w:rFonts w:ascii="Arial" w:hAnsi="Arial" w:cs="Arial"/>
          <w:b/>
          <w:color w:val="010000"/>
          <w:sz w:val="20"/>
          <w:szCs w:val="20"/>
        </w:rPr>
        <w:t xml:space="preserve">Annual </w:t>
      </w:r>
      <w:r w:rsidRPr="004134F9">
        <w:rPr>
          <w:rFonts w:ascii="Arial" w:hAnsi="Arial" w:cs="Arial"/>
          <w:b/>
          <w:color w:val="010000"/>
          <w:sz w:val="20"/>
          <w:szCs w:val="20"/>
        </w:rPr>
        <w:t>General Mandate 2024</w:t>
      </w:r>
    </w:p>
    <w:p w14:paraId="52C3C00C"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On May 25, 2024, An Truong </w:t>
      </w:r>
      <w:proofErr w:type="gramStart"/>
      <w:r w:rsidRPr="004134F9">
        <w:rPr>
          <w:rFonts w:ascii="Arial" w:hAnsi="Arial" w:cs="Arial"/>
          <w:color w:val="010000"/>
          <w:sz w:val="20"/>
          <w:szCs w:val="20"/>
        </w:rPr>
        <w:t>An</w:t>
      </w:r>
      <w:proofErr w:type="gramEnd"/>
      <w:r w:rsidRPr="004134F9">
        <w:rPr>
          <w:rFonts w:ascii="Arial" w:hAnsi="Arial" w:cs="Arial"/>
          <w:color w:val="010000"/>
          <w:sz w:val="20"/>
          <w:szCs w:val="20"/>
        </w:rPr>
        <w:t xml:space="preserve"> Joint Stock Company announced General Mandate No. 2505/2024/NQ-DHDCD/ATG as follows:</w:t>
      </w:r>
    </w:p>
    <w:p w14:paraId="3AAB7D21"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heading=h.gjdgxs"/>
      <w:bookmarkEnd w:id="0"/>
      <w:r w:rsidRPr="004134F9">
        <w:rPr>
          <w:rFonts w:ascii="Arial" w:hAnsi="Arial" w:cs="Arial"/>
          <w:color w:val="010000"/>
          <w:sz w:val="20"/>
          <w:szCs w:val="20"/>
        </w:rPr>
        <w:t xml:space="preserve">‎‎Article 1. Approve the Report on the activities of the Board of Directors in 2023 and the operational plan for 2024. </w:t>
      </w:r>
    </w:p>
    <w:p w14:paraId="5FEC1CA0"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‎‎Article 2. Approve the Report on production and business activities of the Board of Management in 2023 and the plan for 2024. </w:t>
      </w:r>
    </w:p>
    <w:p w14:paraId="00130477"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Production and business activities of the Board of Management in 2023: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2"/>
        <w:gridCol w:w="2022"/>
        <w:gridCol w:w="2047"/>
        <w:gridCol w:w="2047"/>
        <w:gridCol w:w="2049"/>
      </w:tblGrid>
      <w:tr w:rsidR="00AD1E72" w:rsidRPr="004134F9" w14:paraId="2164213E" w14:textId="77777777" w:rsidTr="004134F9">
        <w:tc>
          <w:tcPr>
            <w:tcW w:w="473" w:type="pct"/>
            <w:shd w:val="clear" w:color="auto" w:fill="auto"/>
            <w:tcMar>
              <w:top w:w="0" w:type="dxa"/>
              <w:bottom w:w="0" w:type="dxa"/>
            </w:tcMar>
            <w:vAlign w:val="center"/>
          </w:tcPr>
          <w:p w14:paraId="749EF0A4" w14:textId="77777777" w:rsidR="00AD1E72" w:rsidRPr="004134F9" w:rsidRDefault="0009523D" w:rsidP="004134F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134F9">
              <w:rPr>
                <w:rFonts w:ascii="Arial" w:hAnsi="Arial" w:cs="Arial"/>
                <w:color w:val="010000"/>
                <w:sz w:val="20"/>
                <w:szCs w:val="20"/>
              </w:rPr>
              <w:t>No.</w:t>
            </w:r>
          </w:p>
        </w:tc>
        <w:tc>
          <w:tcPr>
            <w:tcW w:w="1121" w:type="pct"/>
            <w:shd w:val="clear" w:color="auto" w:fill="auto"/>
            <w:tcMar>
              <w:top w:w="0" w:type="dxa"/>
              <w:bottom w:w="0" w:type="dxa"/>
            </w:tcMar>
            <w:vAlign w:val="center"/>
          </w:tcPr>
          <w:p w14:paraId="1082B240" w14:textId="77777777" w:rsidR="00AD1E72" w:rsidRPr="004134F9" w:rsidRDefault="0009523D" w:rsidP="004134F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134F9">
              <w:rPr>
                <w:rFonts w:ascii="Arial" w:hAnsi="Arial" w:cs="Arial"/>
                <w:color w:val="010000"/>
                <w:sz w:val="20"/>
                <w:szCs w:val="20"/>
              </w:rPr>
              <w:t>Targets</w:t>
            </w:r>
          </w:p>
        </w:tc>
        <w:tc>
          <w:tcPr>
            <w:tcW w:w="1135" w:type="pct"/>
            <w:shd w:val="clear" w:color="auto" w:fill="auto"/>
            <w:tcMar>
              <w:top w:w="0" w:type="dxa"/>
              <w:bottom w:w="0" w:type="dxa"/>
            </w:tcMar>
            <w:vAlign w:val="center"/>
          </w:tcPr>
          <w:p w14:paraId="00FD0D4E" w14:textId="77777777" w:rsidR="00AD1E72" w:rsidRPr="004134F9" w:rsidRDefault="0009523D" w:rsidP="00C8243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134F9">
              <w:rPr>
                <w:rFonts w:ascii="Arial" w:hAnsi="Arial" w:cs="Arial"/>
                <w:color w:val="010000"/>
                <w:sz w:val="20"/>
                <w:szCs w:val="20"/>
              </w:rPr>
              <w:t>Plan 2023</w:t>
            </w:r>
          </w:p>
        </w:tc>
        <w:tc>
          <w:tcPr>
            <w:tcW w:w="1135" w:type="pct"/>
            <w:shd w:val="clear" w:color="auto" w:fill="auto"/>
            <w:tcMar>
              <w:top w:w="0" w:type="dxa"/>
              <w:bottom w:w="0" w:type="dxa"/>
            </w:tcMar>
            <w:vAlign w:val="center"/>
          </w:tcPr>
          <w:p w14:paraId="06F42AD4" w14:textId="77777777" w:rsidR="00AD1E72" w:rsidRPr="004134F9" w:rsidRDefault="0009523D" w:rsidP="00C8243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134F9">
              <w:rPr>
                <w:rFonts w:ascii="Arial" w:hAnsi="Arial" w:cs="Arial"/>
                <w:color w:val="010000"/>
                <w:sz w:val="20"/>
                <w:szCs w:val="20"/>
              </w:rPr>
              <w:t>Results 2023</w:t>
            </w:r>
          </w:p>
        </w:tc>
        <w:tc>
          <w:tcPr>
            <w:tcW w:w="1136" w:type="pct"/>
            <w:shd w:val="clear" w:color="auto" w:fill="auto"/>
            <w:tcMar>
              <w:top w:w="0" w:type="dxa"/>
              <w:bottom w:w="0" w:type="dxa"/>
            </w:tcMar>
            <w:vAlign w:val="center"/>
          </w:tcPr>
          <w:p w14:paraId="601BB10D" w14:textId="77777777" w:rsidR="00AD1E72" w:rsidRPr="004134F9" w:rsidRDefault="0088249F" w:rsidP="00C8243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134F9">
              <w:rPr>
                <w:rFonts w:ascii="Arial" w:hAnsi="Arial" w:cs="Arial"/>
                <w:color w:val="010000"/>
                <w:sz w:val="20"/>
                <w:szCs w:val="20"/>
              </w:rPr>
              <w:t>I</w:t>
            </w:r>
            <w:r w:rsidR="0009523D" w:rsidRPr="004134F9">
              <w:rPr>
                <w:rFonts w:ascii="Arial" w:hAnsi="Arial" w:cs="Arial"/>
                <w:color w:val="010000"/>
                <w:sz w:val="20"/>
                <w:szCs w:val="20"/>
              </w:rPr>
              <w:t>ncrease/decrease (%)</w:t>
            </w:r>
          </w:p>
        </w:tc>
      </w:tr>
      <w:tr w:rsidR="00AD1E72" w:rsidRPr="004134F9" w14:paraId="6ECA55AF" w14:textId="77777777" w:rsidTr="004134F9">
        <w:tc>
          <w:tcPr>
            <w:tcW w:w="473" w:type="pct"/>
            <w:shd w:val="clear" w:color="auto" w:fill="auto"/>
            <w:tcMar>
              <w:top w:w="0" w:type="dxa"/>
              <w:bottom w:w="0" w:type="dxa"/>
            </w:tcMar>
            <w:vAlign w:val="center"/>
          </w:tcPr>
          <w:p w14:paraId="195C1DB2" w14:textId="77777777" w:rsidR="00AD1E72" w:rsidRPr="004134F9" w:rsidRDefault="0009523D" w:rsidP="004134F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134F9">
              <w:rPr>
                <w:rFonts w:ascii="Arial" w:hAnsi="Arial" w:cs="Arial"/>
                <w:color w:val="010000"/>
                <w:sz w:val="20"/>
                <w:szCs w:val="20"/>
              </w:rPr>
              <w:t>1</w:t>
            </w:r>
          </w:p>
        </w:tc>
        <w:tc>
          <w:tcPr>
            <w:tcW w:w="1121" w:type="pct"/>
            <w:shd w:val="clear" w:color="auto" w:fill="auto"/>
            <w:tcMar>
              <w:top w:w="0" w:type="dxa"/>
              <w:bottom w:w="0" w:type="dxa"/>
            </w:tcMar>
            <w:vAlign w:val="center"/>
          </w:tcPr>
          <w:p w14:paraId="7DEBE4CA"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Total revenue</w:t>
            </w:r>
          </w:p>
        </w:tc>
        <w:tc>
          <w:tcPr>
            <w:tcW w:w="1135" w:type="pct"/>
            <w:shd w:val="clear" w:color="auto" w:fill="auto"/>
            <w:tcMar>
              <w:top w:w="0" w:type="dxa"/>
              <w:bottom w:w="0" w:type="dxa"/>
            </w:tcMar>
            <w:vAlign w:val="center"/>
          </w:tcPr>
          <w:p w14:paraId="5DB52340" w14:textId="77777777" w:rsidR="00AD1E72" w:rsidRPr="004134F9" w:rsidRDefault="0009523D" w:rsidP="00C8243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134F9">
              <w:rPr>
                <w:rFonts w:ascii="Arial" w:hAnsi="Arial" w:cs="Arial"/>
                <w:color w:val="010000"/>
                <w:sz w:val="20"/>
                <w:szCs w:val="20"/>
              </w:rPr>
              <w:t>100,000,000,000</w:t>
            </w:r>
          </w:p>
        </w:tc>
        <w:tc>
          <w:tcPr>
            <w:tcW w:w="1135" w:type="pct"/>
            <w:shd w:val="clear" w:color="auto" w:fill="auto"/>
            <w:tcMar>
              <w:top w:w="0" w:type="dxa"/>
              <w:bottom w:w="0" w:type="dxa"/>
            </w:tcMar>
            <w:vAlign w:val="center"/>
          </w:tcPr>
          <w:p w14:paraId="0916307C" w14:textId="77777777" w:rsidR="00AD1E72" w:rsidRPr="004134F9" w:rsidRDefault="0009523D" w:rsidP="00C8243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134F9">
              <w:rPr>
                <w:rFonts w:ascii="Arial" w:hAnsi="Arial" w:cs="Arial"/>
                <w:color w:val="010000"/>
                <w:sz w:val="20"/>
                <w:szCs w:val="20"/>
              </w:rPr>
              <w:t>59,577,137,503</w:t>
            </w:r>
          </w:p>
        </w:tc>
        <w:tc>
          <w:tcPr>
            <w:tcW w:w="1136" w:type="pct"/>
            <w:shd w:val="clear" w:color="auto" w:fill="auto"/>
            <w:tcMar>
              <w:top w:w="0" w:type="dxa"/>
              <w:bottom w:w="0" w:type="dxa"/>
            </w:tcMar>
            <w:vAlign w:val="center"/>
          </w:tcPr>
          <w:p w14:paraId="334EBD8B" w14:textId="77777777" w:rsidR="00AD1E72" w:rsidRPr="004134F9" w:rsidRDefault="0009523D" w:rsidP="00C8243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134F9">
              <w:rPr>
                <w:rFonts w:ascii="Arial" w:hAnsi="Arial" w:cs="Arial"/>
                <w:color w:val="010000"/>
                <w:sz w:val="20"/>
                <w:szCs w:val="20"/>
              </w:rPr>
              <w:t>59.58</w:t>
            </w:r>
          </w:p>
        </w:tc>
      </w:tr>
      <w:tr w:rsidR="00AD1E72" w:rsidRPr="004134F9" w14:paraId="3870EC3F" w14:textId="77777777" w:rsidTr="004134F9">
        <w:tc>
          <w:tcPr>
            <w:tcW w:w="473" w:type="pct"/>
            <w:shd w:val="clear" w:color="auto" w:fill="auto"/>
            <w:tcMar>
              <w:top w:w="0" w:type="dxa"/>
              <w:bottom w:w="0" w:type="dxa"/>
            </w:tcMar>
            <w:vAlign w:val="center"/>
          </w:tcPr>
          <w:p w14:paraId="634612C2" w14:textId="77777777" w:rsidR="00AD1E72" w:rsidRPr="004134F9" w:rsidRDefault="0009523D" w:rsidP="004134F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134F9">
              <w:rPr>
                <w:rFonts w:ascii="Arial" w:hAnsi="Arial" w:cs="Arial"/>
                <w:color w:val="010000"/>
                <w:sz w:val="20"/>
                <w:szCs w:val="20"/>
              </w:rPr>
              <w:t>2</w:t>
            </w:r>
          </w:p>
        </w:tc>
        <w:tc>
          <w:tcPr>
            <w:tcW w:w="1121" w:type="pct"/>
            <w:shd w:val="clear" w:color="auto" w:fill="auto"/>
            <w:tcMar>
              <w:top w:w="0" w:type="dxa"/>
              <w:bottom w:w="0" w:type="dxa"/>
            </w:tcMar>
            <w:vAlign w:val="center"/>
          </w:tcPr>
          <w:p w14:paraId="124A83CE"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Profit after tax</w:t>
            </w:r>
          </w:p>
        </w:tc>
        <w:tc>
          <w:tcPr>
            <w:tcW w:w="1135" w:type="pct"/>
            <w:shd w:val="clear" w:color="auto" w:fill="auto"/>
            <w:tcMar>
              <w:top w:w="0" w:type="dxa"/>
              <w:bottom w:w="0" w:type="dxa"/>
            </w:tcMar>
            <w:vAlign w:val="center"/>
          </w:tcPr>
          <w:p w14:paraId="4FAF3BD1" w14:textId="77777777" w:rsidR="00AD1E72" w:rsidRPr="004134F9" w:rsidRDefault="0009523D" w:rsidP="00C8243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134F9">
              <w:rPr>
                <w:rFonts w:ascii="Arial" w:hAnsi="Arial" w:cs="Arial"/>
                <w:color w:val="010000"/>
                <w:sz w:val="20"/>
                <w:szCs w:val="20"/>
              </w:rPr>
              <w:t>1,000,000,000</w:t>
            </w:r>
          </w:p>
        </w:tc>
        <w:tc>
          <w:tcPr>
            <w:tcW w:w="1135" w:type="pct"/>
            <w:shd w:val="clear" w:color="auto" w:fill="auto"/>
            <w:tcMar>
              <w:top w:w="0" w:type="dxa"/>
              <w:bottom w:w="0" w:type="dxa"/>
            </w:tcMar>
            <w:vAlign w:val="center"/>
          </w:tcPr>
          <w:p w14:paraId="1096B3CB" w14:textId="77777777" w:rsidR="00AD1E72" w:rsidRPr="004134F9" w:rsidRDefault="0009523D" w:rsidP="00C8243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134F9">
              <w:rPr>
                <w:rFonts w:ascii="Arial" w:hAnsi="Arial" w:cs="Arial"/>
                <w:color w:val="010000"/>
                <w:sz w:val="20"/>
                <w:szCs w:val="20"/>
              </w:rPr>
              <w:t>(173,080,788)</w:t>
            </w:r>
          </w:p>
        </w:tc>
        <w:tc>
          <w:tcPr>
            <w:tcW w:w="1136" w:type="pct"/>
            <w:shd w:val="clear" w:color="auto" w:fill="auto"/>
            <w:tcMar>
              <w:top w:w="0" w:type="dxa"/>
              <w:bottom w:w="0" w:type="dxa"/>
            </w:tcMar>
            <w:vAlign w:val="center"/>
          </w:tcPr>
          <w:p w14:paraId="007C37AF" w14:textId="77777777" w:rsidR="00AD1E72" w:rsidRPr="004134F9" w:rsidRDefault="0009523D" w:rsidP="00C8243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134F9">
              <w:rPr>
                <w:rFonts w:ascii="Arial" w:hAnsi="Arial" w:cs="Arial"/>
                <w:color w:val="010000"/>
                <w:sz w:val="20"/>
                <w:szCs w:val="20"/>
              </w:rPr>
              <w:t>-</w:t>
            </w:r>
          </w:p>
        </w:tc>
      </w:tr>
    </w:tbl>
    <w:p w14:paraId="5F240527"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Based on the practical situation of the </w:t>
      </w:r>
      <w:r w:rsidR="0088249F" w:rsidRPr="004134F9">
        <w:rPr>
          <w:rFonts w:ascii="Arial" w:hAnsi="Arial" w:cs="Arial"/>
          <w:color w:val="010000"/>
          <w:sz w:val="20"/>
          <w:szCs w:val="20"/>
        </w:rPr>
        <w:t>macro-economy</w:t>
      </w:r>
      <w:r w:rsidRPr="004134F9">
        <w:rPr>
          <w:rFonts w:ascii="Arial" w:hAnsi="Arial" w:cs="Arial"/>
          <w:color w:val="010000"/>
          <w:sz w:val="20"/>
          <w:szCs w:val="20"/>
        </w:rPr>
        <w:t xml:space="preserve"> and the current situation of the Company, the General Manager proposed the production and business plan for 2024 as follows:</w:t>
      </w:r>
    </w:p>
    <w:p w14:paraId="03E68D6D" w14:textId="77777777" w:rsidR="00AD1E72" w:rsidRPr="004134F9" w:rsidRDefault="0009523D" w:rsidP="004134F9">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4134F9">
        <w:rPr>
          <w:rFonts w:ascii="Arial" w:hAnsi="Arial" w:cs="Arial"/>
          <w:i/>
          <w:color w:val="010000"/>
          <w:sz w:val="20"/>
          <w:szCs w:val="20"/>
        </w:rPr>
        <w:t>Unit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3"/>
        <w:gridCol w:w="2941"/>
        <w:gridCol w:w="2413"/>
        <w:gridCol w:w="2900"/>
      </w:tblGrid>
      <w:tr w:rsidR="00AD1E72" w:rsidRPr="004134F9" w14:paraId="1EDB09DB" w14:textId="77777777" w:rsidTr="003961F8">
        <w:tc>
          <w:tcPr>
            <w:tcW w:w="423" w:type="pct"/>
            <w:shd w:val="clear" w:color="auto" w:fill="auto"/>
            <w:tcMar>
              <w:top w:w="0" w:type="dxa"/>
              <w:bottom w:w="0" w:type="dxa"/>
            </w:tcMar>
            <w:vAlign w:val="center"/>
          </w:tcPr>
          <w:p w14:paraId="3ECC436C" w14:textId="77777777" w:rsidR="00AD1E72" w:rsidRPr="004134F9" w:rsidRDefault="0009523D" w:rsidP="00C8243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134F9">
              <w:rPr>
                <w:rFonts w:ascii="Arial" w:hAnsi="Arial" w:cs="Arial"/>
                <w:color w:val="010000"/>
                <w:sz w:val="20"/>
                <w:szCs w:val="20"/>
              </w:rPr>
              <w:t>No.</w:t>
            </w:r>
          </w:p>
        </w:tc>
        <w:tc>
          <w:tcPr>
            <w:tcW w:w="1631" w:type="pct"/>
            <w:shd w:val="clear" w:color="auto" w:fill="auto"/>
            <w:tcMar>
              <w:top w:w="0" w:type="dxa"/>
              <w:bottom w:w="0" w:type="dxa"/>
            </w:tcMar>
            <w:vAlign w:val="center"/>
          </w:tcPr>
          <w:p w14:paraId="3D43623F" w14:textId="77777777" w:rsidR="00AD1E72" w:rsidRPr="004134F9" w:rsidRDefault="0009523D" w:rsidP="00C8243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134F9">
              <w:rPr>
                <w:rFonts w:ascii="Arial" w:hAnsi="Arial" w:cs="Arial"/>
                <w:color w:val="010000"/>
                <w:sz w:val="20"/>
                <w:szCs w:val="20"/>
              </w:rPr>
              <w:t>Targets</w:t>
            </w:r>
          </w:p>
        </w:tc>
        <w:tc>
          <w:tcPr>
            <w:tcW w:w="1338" w:type="pct"/>
            <w:shd w:val="clear" w:color="auto" w:fill="auto"/>
            <w:tcMar>
              <w:top w:w="0" w:type="dxa"/>
              <w:bottom w:w="0" w:type="dxa"/>
            </w:tcMar>
            <w:vAlign w:val="center"/>
          </w:tcPr>
          <w:p w14:paraId="5D1CE6D3" w14:textId="77777777" w:rsidR="00AD1E72" w:rsidRPr="004134F9" w:rsidRDefault="0009523D" w:rsidP="00C8243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134F9">
              <w:rPr>
                <w:rFonts w:ascii="Arial" w:hAnsi="Arial" w:cs="Arial"/>
                <w:color w:val="010000"/>
                <w:sz w:val="20"/>
                <w:szCs w:val="20"/>
              </w:rPr>
              <w:t>Results 2023</w:t>
            </w:r>
          </w:p>
        </w:tc>
        <w:tc>
          <w:tcPr>
            <w:tcW w:w="1608" w:type="pct"/>
            <w:shd w:val="clear" w:color="auto" w:fill="auto"/>
            <w:tcMar>
              <w:top w:w="0" w:type="dxa"/>
              <w:bottom w:w="0" w:type="dxa"/>
            </w:tcMar>
            <w:vAlign w:val="center"/>
          </w:tcPr>
          <w:p w14:paraId="38D0019F" w14:textId="77777777" w:rsidR="00AD1E72" w:rsidRPr="004134F9" w:rsidRDefault="0009523D" w:rsidP="00C8243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134F9">
              <w:rPr>
                <w:rFonts w:ascii="Arial" w:hAnsi="Arial" w:cs="Arial"/>
                <w:color w:val="010000"/>
                <w:sz w:val="20"/>
                <w:szCs w:val="20"/>
              </w:rPr>
              <w:t>Plan 2024</w:t>
            </w:r>
          </w:p>
        </w:tc>
      </w:tr>
      <w:tr w:rsidR="00AD1E72" w:rsidRPr="004134F9" w14:paraId="449B4083" w14:textId="77777777" w:rsidTr="003961F8">
        <w:tc>
          <w:tcPr>
            <w:tcW w:w="423" w:type="pct"/>
            <w:shd w:val="clear" w:color="auto" w:fill="auto"/>
            <w:tcMar>
              <w:top w:w="0" w:type="dxa"/>
              <w:bottom w:w="0" w:type="dxa"/>
            </w:tcMar>
            <w:vAlign w:val="center"/>
          </w:tcPr>
          <w:p w14:paraId="5415C8E9" w14:textId="77777777" w:rsidR="00AD1E72" w:rsidRPr="004134F9" w:rsidRDefault="0009523D" w:rsidP="004134F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134F9">
              <w:rPr>
                <w:rFonts w:ascii="Arial" w:hAnsi="Arial" w:cs="Arial"/>
                <w:color w:val="010000"/>
                <w:sz w:val="20"/>
                <w:szCs w:val="20"/>
              </w:rPr>
              <w:t>1</w:t>
            </w:r>
          </w:p>
        </w:tc>
        <w:tc>
          <w:tcPr>
            <w:tcW w:w="1631" w:type="pct"/>
            <w:shd w:val="clear" w:color="auto" w:fill="auto"/>
            <w:tcMar>
              <w:top w:w="0" w:type="dxa"/>
              <w:bottom w:w="0" w:type="dxa"/>
            </w:tcMar>
            <w:vAlign w:val="center"/>
          </w:tcPr>
          <w:p w14:paraId="62C96EE1"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Net revenue from goods sales and service provision</w:t>
            </w:r>
          </w:p>
        </w:tc>
        <w:tc>
          <w:tcPr>
            <w:tcW w:w="1338" w:type="pct"/>
            <w:shd w:val="clear" w:color="auto" w:fill="auto"/>
            <w:tcMar>
              <w:top w:w="0" w:type="dxa"/>
              <w:bottom w:w="0" w:type="dxa"/>
            </w:tcMar>
            <w:vAlign w:val="center"/>
          </w:tcPr>
          <w:p w14:paraId="64AF9E94" w14:textId="77777777" w:rsidR="00AD1E72" w:rsidRPr="004134F9" w:rsidRDefault="0009523D" w:rsidP="00C8243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134F9">
              <w:rPr>
                <w:rFonts w:ascii="Arial" w:hAnsi="Arial" w:cs="Arial"/>
                <w:color w:val="010000"/>
                <w:sz w:val="20"/>
                <w:szCs w:val="20"/>
              </w:rPr>
              <w:t>59,577,137,503</w:t>
            </w:r>
          </w:p>
        </w:tc>
        <w:tc>
          <w:tcPr>
            <w:tcW w:w="1608" w:type="pct"/>
            <w:shd w:val="clear" w:color="auto" w:fill="auto"/>
            <w:tcMar>
              <w:top w:w="0" w:type="dxa"/>
              <w:bottom w:w="0" w:type="dxa"/>
            </w:tcMar>
            <w:vAlign w:val="center"/>
          </w:tcPr>
          <w:p w14:paraId="406382BC" w14:textId="77777777" w:rsidR="00AD1E72" w:rsidRPr="004134F9" w:rsidRDefault="0009523D" w:rsidP="00C8243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134F9">
              <w:rPr>
                <w:rFonts w:ascii="Arial" w:hAnsi="Arial" w:cs="Arial"/>
                <w:color w:val="010000"/>
                <w:sz w:val="20"/>
                <w:szCs w:val="20"/>
              </w:rPr>
              <w:t>80,000,000,000</w:t>
            </w:r>
          </w:p>
        </w:tc>
      </w:tr>
      <w:tr w:rsidR="00AD1E72" w:rsidRPr="004134F9" w14:paraId="48F96EEF" w14:textId="77777777" w:rsidTr="003961F8">
        <w:tc>
          <w:tcPr>
            <w:tcW w:w="423" w:type="pct"/>
            <w:shd w:val="clear" w:color="auto" w:fill="auto"/>
            <w:tcMar>
              <w:top w:w="0" w:type="dxa"/>
              <w:bottom w:w="0" w:type="dxa"/>
            </w:tcMar>
            <w:vAlign w:val="center"/>
          </w:tcPr>
          <w:p w14:paraId="1306AFBE" w14:textId="77777777" w:rsidR="00AD1E72" w:rsidRPr="004134F9" w:rsidRDefault="0009523D" w:rsidP="004134F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134F9">
              <w:rPr>
                <w:rFonts w:ascii="Arial" w:hAnsi="Arial" w:cs="Arial"/>
                <w:color w:val="010000"/>
                <w:sz w:val="20"/>
                <w:szCs w:val="20"/>
              </w:rPr>
              <w:t>2</w:t>
            </w:r>
          </w:p>
        </w:tc>
        <w:tc>
          <w:tcPr>
            <w:tcW w:w="1631" w:type="pct"/>
            <w:shd w:val="clear" w:color="auto" w:fill="auto"/>
            <w:tcMar>
              <w:top w:w="0" w:type="dxa"/>
              <w:bottom w:w="0" w:type="dxa"/>
            </w:tcMar>
            <w:vAlign w:val="center"/>
          </w:tcPr>
          <w:p w14:paraId="0290D0D0"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Profit before tax</w:t>
            </w:r>
          </w:p>
        </w:tc>
        <w:tc>
          <w:tcPr>
            <w:tcW w:w="1338" w:type="pct"/>
            <w:shd w:val="clear" w:color="auto" w:fill="auto"/>
            <w:tcMar>
              <w:top w:w="0" w:type="dxa"/>
              <w:bottom w:w="0" w:type="dxa"/>
            </w:tcMar>
            <w:vAlign w:val="center"/>
          </w:tcPr>
          <w:p w14:paraId="08A7654D" w14:textId="77777777" w:rsidR="00AD1E72" w:rsidRPr="004134F9" w:rsidRDefault="0009523D" w:rsidP="00C8243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134F9">
              <w:rPr>
                <w:rFonts w:ascii="Arial" w:hAnsi="Arial" w:cs="Arial"/>
                <w:color w:val="010000"/>
                <w:sz w:val="20"/>
                <w:szCs w:val="20"/>
              </w:rPr>
              <w:t>(221,649,920)</w:t>
            </w:r>
          </w:p>
        </w:tc>
        <w:tc>
          <w:tcPr>
            <w:tcW w:w="1608" w:type="pct"/>
            <w:shd w:val="clear" w:color="auto" w:fill="auto"/>
            <w:tcMar>
              <w:top w:w="0" w:type="dxa"/>
              <w:bottom w:w="0" w:type="dxa"/>
            </w:tcMar>
            <w:vAlign w:val="center"/>
          </w:tcPr>
          <w:p w14:paraId="18E5F51F" w14:textId="77777777" w:rsidR="00AD1E72" w:rsidRPr="004134F9" w:rsidRDefault="0009523D" w:rsidP="00C8243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134F9">
              <w:rPr>
                <w:rFonts w:ascii="Arial" w:hAnsi="Arial" w:cs="Arial"/>
                <w:color w:val="010000"/>
                <w:sz w:val="20"/>
                <w:szCs w:val="20"/>
              </w:rPr>
              <w:t>500,000,000</w:t>
            </w:r>
          </w:p>
        </w:tc>
      </w:tr>
    </w:tbl>
    <w:p w14:paraId="242198C3"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‎‎Article 3. Approve the Report on activities of the Audit Committee in 2023 and the operating orientation for 2024.</w:t>
      </w:r>
    </w:p>
    <w:p w14:paraId="37EE2909"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‎‎Article 4. Approve the Audited Financial Statements 2023.</w:t>
      </w:r>
    </w:p>
    <w:p w14:paraId="46A920F3"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‎‎Article 5. Approve the selection of an audit company to audit/review the Financial Statements 2024.</w:t>
      </w:r>
    </w:p>
    <w:p w14:paraId="6161EC95"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‎‎Article 6. Approve the non-payment of remuneration to the Board of Directors in 2024 to reduce the financial burden on the Company.</w:t>
      </w:r>
    </w:p>
    <w:p w14:paraId="04BDF5F6"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‎‎Article 7. Approve the cancellation of profit distribution in 2023 due to the Company’s accumulated losses.</w:t>
      </w:r>
    </w:p>
    <w:p w14:paraId="06918C14"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‎‎Article 8. Approve the financial settlement plan for receivables. </w:t>
      </w:r>
    </w:p>
    <w:p w14:paraId="18B7871A"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‎‎Article 9. Approve the establishment of the Debt Handling Committee. </w:t>
      </w:r>
    </w:p>
    <w:p w14:paraId="53C6ADE3"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‎‎Article 10. Approve the private placement plan to increase the Company's charter capital. </w:t>
      </w:r>
    </w:p>
    <w:p w14:paraId="0809B536"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The Company’s Board of Directors would respectfully submit to the General Meeting of Shareholders for approval of the plan on private placement for professional securities investors, specifically as follows:</w:t>
      </w:r>
    </w:p>
    <w:p w14:paraId="777980A0"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I. Offering plan</w:t>
      </w:r>
    </w:p>
    <w:tbl>
      <w:tblPr>
        <w:tblStyle w:val="a1"/>
        <w:tblW w:w="5000" w:type="pct"/>
        <w:tblBorders>
          <w:top w:val="nil"/>
          <w:left w:val="nil"/>
          <w:bottom w:val="nil"/>
          <w:right w:val="nil"/>
          <w:insideH w:val="nil"/>
          <w:insideV w:val="nil"/>
        </w:tblBorders>
        <w:tblLook w:val="0400" w:firstRow="0" w:lastRow="0" w:firstColumn="0" w:lastColumn="0" w:noHBand="0" w:noVBand="1"/>
      </w:tblPr>
      <w:tblGrid>
        <w:gridCol w:w="3542"/>
        <w:gridCol w:w="5485"/>
      </w:tblGrid>
      <w:tr w:rsidR="00AD1E72" w:rsidRPr="004134F9" w14:paraId="402EA8EB" w14:textId="77777777" w:rsidTr="003961F8">
        <w:tc>
          <w:tcPr>
            <w:tcW w:w="1962" w:type="pct"/>
            <w:shd w:val="clear" w:color="auto" w:fill="auto"/>
            <w:vAlign w:val="center"/>
          </w:tcPr>
          <w:p w14:paraId="0B487A2E" w14:textId="77777777" w:rsidR="00AD1E72" w:rsidRPr="004134F9" w:rsidRDefault="0009523D" w:rsidP="004134F9">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lastRenderedPageBreak/>
              <w:t xml:space="preserve">Share name: </w:t>
            </w:r>
          </w:p>
        </w:tc>
        <w:tc>
          <w:tcPr>
            <w:tcW w:w="3038" w:type="pct"/>
            <w:shd w:val="clear" w:color="auto" w:fill="auto"/>
            <w:vAlign w:val="center"/>
          </w:tcPr>
          <w:p w14:paraId="7683FA85" w14:textId="77777777" w:rsidR="00AD1E72" w:rsidRPr="004134F9" w:rsidRDefault="0009523D" w:rsidP="004134F9">
            <w:pPr>
              <w:pBdr>
                <w:top w:val="nil"/>
                <w:left w:val="nil"/>
                <w:bottom w:val="nil"/>
                <w:right w:val="nil"/>
                <w:between w:val="nil"/>
              </w:pBdr>
              <w:tabs>
                <w:tab w:val="left" w:pos="432"/>
                <w:tab w:val="left" w:pos="518"/>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 Shares of An Truong An Joint Stock Company</w:t>
            </w:r>
          </w:p>
        </w:tc>
      </w:tr>
      <w:tr w:rsidR="00AD1E72" w:rsidRPr="004134F9" w14:paraId="78373653" w14:textId="77777777" w:rsidTr="003961F8">
        <w:tc>
          <w:tcPr>
            <w:tcW w:w="1962" w:type="pct"/>
            <w:shd w:val="clear" w:color="auto" w:fill="auto"/>
            <w:vAlign w:val="center"/>
          </w:tcPr>
          <w:p w14:paraId="591308BA" w14:textId="77777777" w:rsidR="00AD1E72" w:rsidRPr="004134F9" w:rsidRDefault="0009523D" w:rsidP="004134F9">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Securities code:</w:t>
            </w:r>
          </w:p>
        </w:tc>
        <w:tc>
          <w:tcPr>
            <w:tcW w:w="3038" w:type="pct"/>
            <w:shd w:val="clear" w:color="auto" w:fill="auto"/>
            <w:vAlign w:val="center"/>
          </w:tcPr>
          <w:p w14:paraId="4A429ABE" w14:textId="77777777" w:rsidR="00AD1E72" w:rsidRPr="004134F9" w:rsidRDefault="0009523D" w:rsidP="004134F9">
            <w:pPr>
              <w:pBdr>
                <w:top w:val="nil"/>
                <w:left w:val="nil"/>
                <w:bottom w:val="nil"/>
                <w:right w:val="nil"/>
                <w:between w:val="nil"/>
              </w:pBdr>
              <w:tabs>
                <w:tab w:val="left" w:pos="432"/>
                <w:tab w:val="left" w:pos="518"/>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 ATG</w:t>
            </w:r>
          </w:p>
        </w:tc>
      </w:tr>
      <w:tr w:rsidR="00AD1E72" w:rsidRPr="004134F9" w14:paraId="7B6074A7" w14:textId="77777777" w:rsidTr="003961F8">
        <w:tc>
          <w:tcPr>
            <w:tcW w:w="1962" w:type="pct"/>
            <w:shd w:val="clear" w:color="auto" w:fill="auto"/>
            <w:vAlign w:val="center"/>
          </w:tcPr>
          <w:p w14:paraId="792BFD0B" w14:textId="77777777" w:rsidR="00AD1E72" w:rsidRPr="004134F9" w:rsidRDefault="0009523D" w:rsidP="004134F9">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Par value:</w:t>
            </w:r>
          </w:p>
        </w:tc>
        <w:tc>
          <w:tcPr>
            <w:tcW w:w="3038" w:type="pct"/>
            <w:shd w:val="clear" w:color="auto" w:fill="auto"/>
            <w:vAlign w:val="center"/>
          </w:tcPr>
          <w:p w14:paraId="2797889B"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 VND 10,000/share</w:t>
            </w:r>
          </w:p>
        </w:tc>
      </w:tr>
      <w:tr w:rsidR="00AD1E72" w:rsidRPr="004134F9" w14:paraId="7195C3CE" w14:textId="77777777" w:rsidTr="003961F8">
        <w:tc>
          <w:tcPr>
            <w:tcW w:w="1962" w:type="pct"/>
            <w:shd w:val="clear" w:color="auto" w:fill="auto"/>
            <w:vAlign w:val="center"/>
          </w:tcPr>
          <w:p w14:paraId="3E681C69" w14:textId="77777777" w:rsidR="00AD1E72" w:rsidRPr="004134F9" w:rsidRDefault="0009523D" w:rsidP="004134F9">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Share type:</w:t>
            </w:r>
          </w:p>
        </w:tc>
        <w:tc>
          <w:tcPr>
            <w:tcW w:w="3038" w:type="pct"/>
            <w:shd w:val="clear" w:color="auto" w:fill="auto"/>
            <w:vAlign w:val="center"/>
          </w:tcPr>
          <w:p w14:paraId="3B16B7CB" w14:textId="77777777" w:rsidR="00AD1E72" w:rsidRPr="004134F9" w:rsidRDefault="0009523D" w:rsidP="004134F9">
            <w:pPr>
              <w:pBdr>
                <w:top w:val="nil"/>
                <w:left w:val="nil"/>
                <w:bottom w:val="nil"/>
                <w:right w:val="nil"/>
                <w:between w:val="nil"/>
              </w:pBdr>
              <w:tabs>
                <w:tab w:val="left" w:pos="432"/>
                <w:tab w:val="left" w:pos="518"/>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 Common shares</w:t>
            </w:r>
          </w:p>
        </w:tc>
      </w:tr>
      <w:tr w:rsidR="00AD1E72" w:rsidRPr="004134F9" w14:paraId="5E05871E" w14:textId="77777777" w:rsidTr="003961F8">
        <w:tc>
          <w:tcPr>
            <w:tcW w:w="1962" w:type="pct"/>
            <w:shd w:val="clear" w:color="auto" w:fill="auto"/>
            <w:vAlign w:val="center"/>
          </w:tcPr>
          <w:p w14:paraId="1985A69B" w14:textId="77777777" w:rsidR="00AD1E72" w:rsidRPr="004134F9" w:rsidRDefault="0009523D" w:rsidP="004134F9">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Number of outstanding shares before the offering:</w:t>
            </w:r>
          </w:p>
        </w:tc>
        <w:tc>
          <w:tcPr>
            <w:tcW w:w="3038" w:type="pct"/>
            <w:shd w:val="clear" w:color="auto" w:fill="auto"/>
            <w:vAlign w:val="center"/>
          </w:tcPr>
          <w:p w14:paraId="37554A06" w14:textId="77777777" w:rsidR="00AD1E72" w:rsidRPr="004134F9" w:rsidRDefault="0009523D" w:rsidP="004134F9">
            <w:pPr>
              <w:pBdr>
                <w:top w:val="nil"/>
                <w:left w:val="nil"/>
                <w:bottom w:val="nil"/>
                <w:right w:val="nil"/>
                <w:between w:val="nil"/>
              </w:pBdr>
              <w:tabs>
                <w:tab w:val="left" w:pos="432"/>
                <w:tab w:val="left" w:pos="518"/>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 15,220,000 shares</w:t>
            </w:r>
          </w:p>
        </w:tc>
      </w:tr>
      <w:tr w:rsidR="00AD1E72" w:rsidRPr="004134F9" w14:paraId="38F7D4E8" w14:textId="77777777" w:rsidTr="003961F8">
        <w:tc>
          <w:tcPr>
            <w:tcW w:w="1962" w:type="pct"/>
            <w:shd w:val="clear" w:color="auto" w:fill="auto"/>
            <w:vAlign w:val="center"/>
          </w:tcPr>
          <w:p w14:paraId="151D79EB" w14:textId="77777777" w:rsidR="00AD1E72" w:rsidRPr="004134F9" w:rsidRDefault="0009523D" w:rsidP="004134F9">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Charter capital before the offering:</w:t>
            </w:r>
          </w:p>
        </w:tc>
        <w:tc>
          <w:tcPr>
            <w:tcW w:w="3038" w:type="pct"/>
            <w:shd w:val="clear" w:color="auto" w:fill="auto"/>
            <w:vAlign w:val="center"/>
          </w:tcPr>
          <w:p w14:paraId="26DAF50E" w14:textId="77777777" w:rsidR="00AD1E72" w:rsidRPr="004134F9" w:rsidRDefault="0009523D" w:rsidP="004134F9">
            <w:pPr>
              <w:pBdr>
                <w:top w:val="nil"/>
                <w:left w:val="nil"/>
                <w:bottom w:val="nil"/>
                <w:right w:val="nil"/>
                <w:between w:val="nil"/>
              </w:pBdr>
              <w:tabs>
                <w:tab w:val="left" w:pos="432"/>
                <w:tab w:val="left" w:pos="518"/>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 VND 152,200,000,000</w:t>
            </w:r>
          </w:p>
        </w:tc>
      </w:tr>
      <w:tr w:rsidR="00AD1E72" w:rsidRPr="004134F9" w14:paraId="59EA836C" w14:textId="77777777" w:rsidTr="003961F8">
        <w:tc>
          <w:tcPr>
            <w:tcW w:w="1962" w:type="pct"/>
            <w:shd w:val="clear" w:color="auto" w:fill="auto"/>
            <w:vAlign w:val="center"/>
          </w:tcPr>
          <w:p w14:paraId="16AF9250" w14:textId="77777777" w:rsidR="00AD1E72" w:rsidRPr="004134F9" w:rsidRDefault="0009523D" w:rsidP="004134F9">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Expected maximum number of offered shares:</w:t>
            </w:r>
          </w:p>
        </w:tc>
        <w:tc>
          <w:tcPr>
            <w:tcW w:w="3038" w:type="pct"/>
            <w:shd w:val="clear" w:color="auto" w:fill="auto"/>
            <w:vAlign w:val="center"/>
          </w:tcPr>
          <w:p w14:paraId="688CCC38" w14:textId="77777777" w:rsidR="00AD1E72" w:rsidRPr="004134F9" w:rsidRDefault="0009523D" w:rsidP="004134F9">
            <w:pPr>
              <w:pBdr>
                <w:top w:val="nil"/>
                <w:left w:val="nil"/>
                <w:bottom w:val="nil"/>
                <w:right w:val="nil"/>
                <w:between w:val="nil"/>
              </w:pBdr>
              <w:tabs>
                <w:tab w:val="left" w:pos="432"/>
                <w:tab w:val="left" w:pos="485"/>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 10,000,000 shares </w:t>
            </w:r>
          </w:p>
          <w:p w14:paraId="7C837348" w14:textId="77777777" w:rsidR="00AD1E72" w:rsidRPr="004134F9" w:rsidRDefault="00AD1E72"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AD1E72" w:rsidRPr="004134F9" w14:paraId="1540D461" w14:textId="77777777" w:rsidTr="003961F8">
        <w:tc>
          <w:tcPr>
            <w:tcW w:w="1962" w:type="pct"/>
            <w:shd w:val="clear" w:color="auto" w:fill="auto"/>
            <w:vAlign w:val="center"/>
          </w:tcPr>
          <w:p w14:paraId="14C0A03A" w14:textId="77777777" w:rsidR="00AD1E72" w:rsidRPr="004134F9" w:rsidRDefault="0009523D" w:rsidP="004134F9">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Expected total value of offered shares at par value:</w:t>
            </w:r>
          </w:p>
        </w:tc>
        <w:tc>
          <w:tcPr>
            <w:tcW w:w="3038" w:type="pct"/>
            <w:shd w:val="clear" w:color="auto" w:fill="auto"/>
            <w:vAlign w:val="center"/>
          </w:tcPr>
          <w:p w14:paraId="3CCF8A51"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 VND 100,000,000,000</w:t>
            </w:r>
          </w:p>
          <w:p w14:paraId="00FA1694" w14:textId="77777777" w:rsidR="00AD1E72" w:rsidRPr="004134F9" w:rsidRDefault="00AD1E72" w:rsidP="004134F9">
            <w:pPr>
              <w:pBdr>
                <w:top w:val="nil"/>
                <w:left w:val="nil"/>
                <w:bottom w:val="nil"/>
                <w:right w:val="nil"/>
                <w:between w:val="nil"/>
              </w:pBdr>
              <w:tabs>
                <w:tab w:val="left" w:pos="432"/>
                <w:tab w:val="left" w:pos="518"/>
              </w:tabs>
              <w:spacing w:after="120" w:line="360" w:lineRule="auto"/>
              <w:jc w:val="both"/>
              <w:rPr>
                <w:rFonts w:ascii="Arial" w:eastAsia="Arial" w:hAnsi="Arial" w:cs="Arial"/>
                <w:color w:val="010000"/>
                <w:sz w:val="20"/>
                <w:szCs w:val="20"/>
              </w:rPr>
            </w:pPr>
          </w:p>
        </w:tc>
      </w:tr>
      <w:tr w:rsidR="00AD1E72" w:rsidRPr="004134F9" w14:paraId="7A73D698" w14:textId="77777777" w:rsidTr="003961F8">
        <w:tc>
          <w:tcPr>
            <w:tcW w:w="1962" w:type="pct"/>
            <w:shd w:val="clear" w:color="auto" w:fill="auto"/>
            <w:vAlign w:val="center"/>
          </w:tcPr>
          <w:p w14:paraId="732051F2" w14:textId="77777777" w:rsidR="00AD1E72" w:rsidRPr="004134F9" w:rsidRDefault="0009523D" w:rsidP="004134F9">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Expected increase in charter capital:</w:t>
            </w:r>
          </w:p>
        </w:tc>
        <w:tc>
          <w:tcPr>
            <w:tcW w:w="3038" w:type="pct"/>
            <w:shd w:val="clear" w:color="auto" w:fill="auto"/>
            <w:vAlign w:val="center"/>
          </w:tcPr>
          <w:p w14:paraId="39F4ABE9"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 VND 100,000,000,000</w:t>
            </w:r>
          </w:p>
        </w:tc>
      </w:tr>
      <w:tr w:rsidR="00AD1E72" w:rsidRPr="004134F9" w14:paraId="6F740B3E" w14:textId="77777777" w:rsidTr="003961F8">
        <w:tc>
          <w:tcPr>
            <w:tcW w:w="1962" w:type="pct"/>
            <w:shd w:val="clear" w:color="auto" w:fill="auto"/>
            <w:vAlign w:val="center"/>
          </w:tcPr>
          <w:p w14:paraId="48FC73F6" w14:textId="77777777" w:rsidR="00AD1E72" w:rsidRPr="004134F9" w:rsidRDefault="0009523D" w:rsidP="004134F9">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Expected number of outstanding shares after completing the private placement:</w:t>
            </w:r>
          </w:p>
        </w:tc>
        <w:tc>
          <w:tcPr>
            <w:tcW w:w="3038" w:type="pct"/>
            <w:shd w:val="clear" w:color="auto" w:fill="auto"/>
            <w:vAlign w:val="center"/>
          </w:tcPr>
          <w:p w14:paraId="17F99031" w14:textId="77777777" w:rsidR="00AD1E72" w:rsidRPr="004134F9" w:rsidRDefault="0009523D" w:rsidP="004134F9">
            <w:pPr>
              <w:pBdr>
                <w:top w:val="nil"/>
                <w:left w:val="nil"/>
                <w:bottom w:val="nil"/>
                <w:right w:val="nil"/>
                <w:between w:val="nil"/>
              </w:pBdr>
              <w:tabs>
                <w:tab w:val="left" w:pos="432"/>
                <w:tab w:val="left" w:pos="485"/>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 25,220,000 shares </w:t>
            </w:r>
          </w:p>
          <w:p w14:paraId="5C1D69E3" w14:textId="77777777" w:rsidR="00AD1E72" w:rsidRPr="004134F9" w:rsidRDefault="00AD1E72" w:rsidP="004134F9">
            <w:pPr>
              <w:pBdr>
                <w:top w:val="nil"/>
                <w:left w:val="nil"/>
                <w:bottom w:val="nil"/>
                <w:right w:val="nil"/>
                <w:between w:val="nil"/>
              </w:pBdr>
              <w:tabs>
                <w:tab w:val="left" w:pos="432"/>
                <w:tab w:val="left" w:pos="518"/>
              </w:tabs>
              <w:spacing w:after="120" w:line="360" w:lineRule="auto"/>
              <w:jc w:val="both"/>
              <w:rPr>
                <w:rFonts w:ascii="Arial" w:eastAsia="Arial" w:hAnsi="Arial" w:cs="Arial"/>
                <w:color w:val="010000"/>
                <w:sz w:val="20"/>
                <w:szCs w:val="20"/>
              </w:rPr>
            </w:pPr>
          </w:p>
        </w:tc>
      </w:tr>
      <w:tr w:rsidR="00AD1E72" w:rsidRPr="004134F9" w14:paraId="64E9719D" w14:textId="77777777" w:rsidTr="003961F8">
        <w:tc>
          <w:tcPr>
            <w:tcW w:w="1962" w:type="pct"/>
            <w:shd w:val="clear" w:color="auto" w:fill="auto"/>
            <w:vAlign w:val="center"/>
          </w:tcPr>
          <w:p w14:paraId="51E04B4C" w14:textId="77777777" w:rsidR="00AD1E72" w:rsidRPr="004134F9" w:rsidRDefault="0009523D" w:rsidP="004134F9">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Expected charter capital after completing the private placement:</w:t>
            </w:r>
          </w:p>
        </w:tc>
        <w:tc>
          <w:tcPr>
            <w:tcW w:w="3038" w:type="pct"/>
            <w:shd w:val="clear" w:color="auto" w:fill="auto"/>
            <w:vAlign w:val="center"/>
          </w:tcPr>
          <w:p w14:paraId="24B59387" w14:textId="77777777" w:rsidR="00AD1E72" w:rsidRPr="004134F9" w:rsidRDefault="0009523D" w:rsidP="004134F9">
            <w:pPr>
              <w:pBdr>
                <w:top w:val="nil"/>
                <w:left w:val="nil"/>
                <w:bottom w:val="nil"/>
                <w:right w:val="nil"/>
                <w:between w:val="nil"/>
              </w:pBdr>
              <w:tabs>
                <w:tab w:val="left" w:pos="432"/>
                <w:tab w:val="left" w:pos="518"/>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 VND 252,200,000,000</w:t>
            </w:r>
          </w:p>
        </w:tc>
      </w:tr>
      <w:tr w:rsidR="00AD1E72" w:rsidRPr="004134F9" w14:paraId="26F44B3D" w14:textId="77777777" w:rsidTr="003961F8">
        <w:tc>
          <w:tcPr>
            <w:tcW w:w="1962" w:type="pct"/>
            <w:shd w:val="clear" w:color="auto" w:fill="auto"/>
            <w:vAlign w:val="center"/>
          </w:tcPr>
          <w:p w14:paraId="6AB8907D" w14:textId="77777777" w:rsidR="00AD1E72" w:rsidRPr="004134F9" w:rsidRDefault="0009523D" w:rsidP="004134F9">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Offering form:</w:t>
            </w:r>
          </w:p>
        </w:tc>
        <w:tc>
          <w:tcPr>
            <w:tcW w:w="3038" w:type="pct"/>
            <w:shd w:val="clear" w:color="auto" w:fill="auto"/>
            <w:vAlign w:val="center"/>
          </w:tcPr>
          <w:p w14:paraId="458C004C" w14:textId="77777777" w:rsidR="00AD1E72" w:rsidRPr="004134F9" w:rsidRDefault="0009523D" w:rsidP="004134F9">
            <w:pPr>
              <w:pBdr>
                <w:top w:val="nil"/>
                <w:left w:val="nil"/>
                <w:bottom w:val="nil"/>
                <w:right w:val="nil"/>
                <w:between w:val="nil"/>
              </w:pBdr>
              <w:tabs>
                <w:tab w:val="left" w:pos="432"/>
                <w:tab w:val="left" w:pos="518"/>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 Private placement </w:t>
            </w:r>
          </w:p>
        </w:tc>
      </w:tr>
      <w:tr w:rsidR="00AD1E72" w:rsidRPr="004134F9" w14:paraId="5196EC28" w14:textId="77777777" w:rsidTr="003961F8">
        <w:tc>
          <w:tcPr>
            <w:tcW w:w="1962" w:type="pct"/>
            <w:shd w:val="clear" w:color="auto" w:fill="auto"/>
            <w:vAlign w:val="center"/>
          </w:tcPr>
          <w:p w14:paraId="04F71EA8" w14:textId="77777777" w:rsidR="00AD1E72" w:rsidRPr="004134F9" w:rsidRDefault="0009523D" w:rsidP="004134F9">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Offering price:</w:t>
            </w:r>
          </w:p>
        </w:tc>
        <w:tc>
          <w:tcPr>
            <w:tcW w:w="3038" w:type="pct"/>
            <w:shd w:val="clear" w:color="auto" w:fill="auto"/>
            <w:vAlign w:val="center"/>
          </w:tcPr>
          <w:p w14:paraId="175FCF0D" w14:textId="77777777" w:rsidR="00AD1E72" w:rsidRPr="004134F9" w:rsidRDefault="0009523D" w:rsidP="004134F9">
            <w:pPr>
              <w:pBdr>
                <w:top w:val="nil"/>
                <w:left w:val="nil"/>
                <w:bottom w:val="nil"/>
                <w:right w:val="nil"/>
                <w:between w:val="nil"/>
              </w:pBdr>
              <w:tabs>
                <w:tab w:val="left" w:pos="432"/>
                <w:tab w:val="left" w:pos="518"/>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 Expected VND 10,000/share. The General Meeting of Shareholders authorized the Board of Directors to decide on the offering price, provided that it is not lower than VND 10,000/share.</w:t>
            </w:r>
          </w:p>
        </w:tc>
      </w:tr>
      <w:tr w:rsidR="00AD1E72" w:rsidRPr="004134F9" w14:paraId="734394E5" w14:textId="77777777" w:rsidTr="003961F8">
        <w:tc>
          <w:tcPr>
            <w:tcW w:w="1962" w:type="pct"/>
            <w:shd w:val="clear" w:color="auto" w:fill="auto"/>
            <w:vAlign w:val="center"/>
          </w:tcPr>
          <w:p w14:paraId="25EE8A7B" w14:textId="77777777" w:rsidR="00AD1E72" w:rsidRPr="004134F9" w:rsidRDefault="0009523D" w:rsidP="004134F9">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Eligible buyers:</w:t>
            </w:r>
          </w:p>
        </w:tc>
        <w:tc>
          <w:tcPr>
            <w:tcW w:w="3038" w:type="pct"/>
            <w:shd w:val="clear" w:color="auto" w:fill="auto"/>
            <w:vAlign w:val="center"/>
          </w:tcPr>
          <w:p w14:paraId="4B436341" w14:textId="77777777" w:rsidR="00AD1E72" w:rsidRPr="004134F9" w:rsidRDefault="0009523D" w:rsidP="004134F9">
            <w:pPr>
              <w:pBdr>
                <w:top w:val="nil"/>
                <w:left w:val="nil"/>
                <w:bottom w:val="nil"/>
                <w:right w:val="nil"/>
                <w:between w:val="nil"/>
              </w:pBdr>
              <w:tabs>
                <w:tab w:val="left" w:pos="432"/>
                <w:tab w:val="left" w:pos="518"/>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 Individuals and/or organizations who are professional securities investors.</w:t>
            </w:r>
          </w:p>
        </w:tc>
      </w:tr>
      <w:tr w:rsidR="00AD1E72" w:rsidRPr="004134F9" w14:paraId="0B54B824" w14:textId="77777777" w:rsidTr="003961F8">
        <w:tc>
          <w:tcPr>
            <w:tcW w:w="1962" w:type="pct"/>
            <w:shd w:val="clear" w:color="auto" w:fill="auto"/>
            <w:vAlign w:val="center"/>
          </w:tcPr>
          <w:p w14:paraId="02B3FEB2" w14:textId="77777777" w:rsidR="00AD1E72" w:rsidRPr="004134F9" w:rsidRDefault="0009523D" w:rsidP="004134F9">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Selection criteria for eligible buyers:</w:t>
            </w:r>
          </w:p>
        </w:tc>
        <w:tc>
          <w:tcPr>
            <w:tcW w:w="3038" w:type="pct"/>
            <w:shd w:val="clear" w:color="auto" w:fill="auto"/>
            <w:vAlign w:val="center"/>
          </w:tcPr>
          <w:p w14:paraId="4E3E9C8C"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 Must be a professional securities investor as per Article 11 of the Securities Law.</w:t>
            </w:r>
          </w:p>
          <w:p w14:paraId="5308954E" w14:textId="77777777" w:rsidR="00AD1E72" w:rsidRPr="004134F9" w:rsidRDefault="0009523D" w:rsidP="004134F9">
            <w:pPr>
              <w:pBdr>
                <w:top w:val="nil"/>
                <w:left w:val="nil"/>
                <w:bottom w:val="nil"/>
                <w:right w:val="nil"/>
                <w:between w:val="nil"/>
              </w:pBdr>
              <w:tabs>
                <w:tab w:val="left" w:pos="432"/>
                <w:tab w:val="left" w:pos="518"/>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The General Meeting of Shareholders </w:t>
            </w:r>
            <w:r w:rsidR="0088249F" w:rsidRPr="004134F9">
              <w:rPr>
                <w:rFonts w:ascii="Arial" w:hAnsi="Arial" w:cs="Arial"/>
                <w:color w:val="010000"/>
                <w:sz w:val="20"/>
                <w:szCs w:val="20"/>
              </w:rPr>
              <w:t>authorize</w:t>
            </w:r>
            <w:r w:rsidR="00CB0F5A" w:rsidRPr="004134F9">
              <w:rPr>
                <w:rFonts w:ascii="Arial" w:hAnsi="Arial" w:cs="Arial"/>
                <w:color w:val="010000"/>
                <w:sz w:val="20"/>
                <w:szCs w:val="20"/>
              </w:rPr>
              <w:t>d</w:t>
            </w:r>
            <w:r w:rsidRPr="004134F9">
              <w:rPr>
                <w:rFonts w:ascii="Arial" w:hAnsi="Arial" w:cs="Arial"/>
                <w:color w:val="010000"/>
                <w:sz w:val="20"/>
                <w:szCs w:val="20"/>
              </w:rPr>
              <w:t xml:space="preserve"> the Board of Directors to decide in </w:t>
            </w:r>
            <w:r w:rsidR="0088249F" w:rsidRPr="004134F9">
              <w:rPr>
                <w:rFonts w:ascii="Arial" w:hAnsi="Arial" w:cs="Arial"/>
                <w:color w:val="010000"/>
                <w:sz w:val="20"/>
                <w:szCs w:val="20"/>
              </w:rPr>
              <w:t>detail</w:t>
            </w:r>
            <w:r w:rsidRPr="004134F9">
              <w:rPr>
                <w:rFonts w:ascii="Arial" w:hAnsi="Arial" w:cs="Arial"/>
                <w:color w:val="010000"/>
                <w:sz w:val="20"/>
                <w:szCs w:val="20"/>
              </w:rPr>
              <w:t xml:space="preserve"> and adjust the criteria corresponding </w:t>
            </w:r>
            <w:r w:rsidR="0088249F" w:rsidRPr="004134F9">
              <w:rPr>
                <w:rFonts w:ascii="Arial" w:hAnsi="Arial" w:cs="Arial"/>
                <w:color w:val="010000"/>
                <w:sz w:val="20"/>
                <w:szCs w:val="20"/>
              </w:rPr>
              <w:t>to</w:t>
            </w:r>
            <w:r w:rsidRPr="004134F9">
              <w:rPr>
                <w:rFonts w:ascii="Arial" w:hAnsi="Arial" w:cs="Arial"/>
                <w:color w:val="010000"/>
                <w:sz w:val="20"/>
                <w:szCs w:val="20"/>
              </w:rPr>
              <w:t xml:space="preserve"> the practical situation. </w:t>
            </w:r>
          </w:p>
        </w:tc>
      </w:tr>
      <w:tr w:rsidR="00AD1E72" w:rsidRPr="004134F9" w14:paraId="2138EE8F" w14:textId="77777777" w:rsidTr="003961F8">
        <w:tc>
          <w:tcPr>
            <w:tcW w:w="1962" w:type="pct"/>
            <w:shd w:val="clear" w:color="auto" w:fill="auto"/>
            <w:vAlign w:val="center"/>
          </w:tcPr>
          <w:p w14:paraId="4C28F8A5" w14:textId="77777777" w:rsidR="00AD1E72" w:rsidRPr="004134F9" w:rsidRDefault="0009523D" w:rsidP="004134F9">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Expected number of investors:</w:t>
            </w:r>
          </w:p>
        </w:tc>
        <w:tc>
          <w:tcPr>
            <w:tcW w:w="3038" w:type="pct"/>
            <w:shd w:val="clear" w:color="auto" w:fill="auto"/>
            <w:vAlign w:val="center"/>
          </w:tcPr>
          <w:p w14:paraId="5AD7BB4A" w14:textId="77777777" w:rsidR="00AD1E72" w:rsidRPr="004134F9" w:rsidRDefault="0009523D" w:rsidP="004134F9">
            <w:pPr>
              <w:pBdr>
                <w:top w:val="nil"/>
                <w:left w:val="nil"/>
                <w:bottom w:val="nil"/>
                <w:right w:val="nil"/>
                <w:between w:val="nil"/>
              </w:pBdr>
              <w:tabs>
                <w:tab w:val="left" w:pos="432"/>
                <w:tab w:val="left" w:pos="518"/>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 Less than 100 professional securities investors for the offering.</w:t>
            </w:r>
          </w:p>
        </w:tc>
      </w:tr>
      <w:tr w:rsidR="00AD1E72" w:rsidRPr="004134F9" w14:paraId="6DCCF6CB" w14:textId="77777777" w:rsidTr="003961F8">
        <w:tc>
          <w:tcPr>
            <w:tcW w:w="1962" w:type="pct"/>
            <w:shd w:val="clear" w:color="auto" w:fill="auto"/>
            <w:vAlign w:val="center"/>
          </w:tcPr>
          <w:p w14:paraId="2024B446" w14:textId="77777777" w:rsidR="00AD1E72" w:rsidRPr="004134F9" w:rsidRDefault="0009523D" w:rsidP="004134F9">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lastRenderedPageBreak/>
              <w:t>Expected number of offered shares to investors:</w:t>
            </w:r>
          </w:p>
        </w:tc>
        <w:tc>
          <w:tcPr>
            <w:tcW w:w="3038" w:type="pct"/>
            <w:shd w:val="clear" w:color="auto" w:fill="auto"/>
            <w:vAlign w:val="center"/>
          </w:tcPr>
          <w:p w14:paraId="3B24B07B" w14:textId="77777777" w:rsidR="00AD1E72" w:rsidRPr="004134F9" w:rsidRDefault="0009523D" w:rsidP="004134F9">
            <w:pPr>
              <w:pBdr>
                <w:top w:val="nil"/>
                <w:left w:val="nil"/>
                <w:bottom w:val="nil"/>
                <w:right w:val="nil"/>
                <w:between w:val="nil"/>
              </w:pBdr>
              <w:tabs>
                <w:tab w:val="left" w:pos="432"/>
                <w:tab w:val="left" w:pos="518"/>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 Depending on the financial capacity and commitment of the offering to each investor, based on the agreement and cooperation of the parties. </w:t>
            </w:r>
          </w:p>
          <w:p w14:paraId="09932A5D" w14:textId="77777777" w:rsidR="00AD1E72" w:rsidRPr="004134F9" w:rsidRDefault="0009523D" w:rsidP="004134F9">
            <w:pPr>
              <w:pBdr>
                <w:top w:val="nil"/>
                <w:left w:val="nil"/>
                <w:bottom w:val="nil"/>
                <w:right w:val="nil"/>
                <w:between w:val="nil"/>
              </w:pBdr>
              <w:tabs>
                <w:tab w:val="left" w:pos="432"/>
                <w:tab w:val="left" w:pos="518"/>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The General Meeting of Shareholders assigned and authorized the Board of Directors to proactively search, select</w:t>
            </w:r>
            <w:r w:rsidR="0088249F" w:rsidRPr="004134F9">
              <w:rPr>
                <w:rFonts w:ascii="Arial" w:hAnsi="Arial" w:cs="Arial"/>
                <w:color w:val="010000"/>
                <w:sz w:val="20"/>
                <w:szCs w:val="20"/>
              </w:rPr>
              <w:t>,</w:t>
            </w:r>
            <w:r w:rsidRPr="004134F9">
              <w:rPr>
                <w:rFonts w:ascii="Arial" w:hAnsi="Arial" w:cs="Arial"/>
                <w:color w:val="010000"/>
                <w:sz w:val="20"/>
                <w:szCs w:val="20"/>
              </w:rPr>
              <w:t xml:space="preserve"> and approve the list and number of investors entitled to participate in the private placement and decide the number of shares offered to each investor.</w:t>
            </w:r>
          </w:p>
        </w:tc>
      </w:tr>
      <w:tr w:rsidR="00AD1E72" w:rsidRPr="004134F9" w14:paraId="2C445D6F" w14:textId="77777777" w:rsidTr="003961F8">
        <w:tc>
          <w:tcPr>
            <w:tcW w:w="1962" w:type="pct"/>
            <w:shd w:val="clear" w:color="auto" w:fill="auto"/>
            <w:vAlign w:val="center"/>
          </w:tcPr>
          <w:p w14:paraId="6B24AEBF" w14:textId="77777777" w:rsidR="00AD1E72" w:rsidRPr="004134F9" w:rsidRDefault="0009523D" w:rsidP="004134F9">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Plan on handling undistributed shares (if any):</w:t>
            </w:r>
          </w:p>
        </w:tc>
        <w:tc>
          <w:tcPr>
            <w:tcW w:w="3038" w:type="pct"/>
            <w:shd w:val="clear" w:color="auto" w:fill="auto"/>
            <w:vAlign w:val="center"/>
          </w:tcPr>
          <w:p w14:paraId="7950CFE4" w14:textId="77777777" w:rsidR="00AD1E72" w:rsidRPr="004134F9" w:rsidRDefault="0009523D" w:rsidP="004134F9">
            <w:pPr>
              <w:pBdr>
                <w:top w:val="nil"/>
                <w:left w:val="nil"/>
                <w:bottom w:val="nil"/>
                <w:right w:val="nil"/>
                <w:between w:val="nil"/>
              </w:pBdr>
              <w:tabs>
                <w:tab w:val="left" w:pos="432"/>
                <w:tab w:val="left" w:pos="518"/>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The General Meeting of Shareholders authorized the Board of Directors to issue a decision to offer the undistributed shares to other entities, ensuring that the terms of </w:t>
            </w:r>
            <w:r w:rsidR="0088249F" w:rsidRPr="004134F9">
              <w:rPr>
                <w:rFonts w:ascii="Arial" w:hAnsi="Arial" w:cs="Arial"/>
                <w:color w:val="010000"/>
                <w:sz w:val="20"/>
                <w:szCs w:val="20"/>
              </w:rPr>
              <w:t>the offering</w:t>
            </w:r>
            <w:r w:rsidRPr="004134F9">
              <w:rPr>
                <w:rFonts w:ascii="Arial" w:hAnsi="Arial" w:cs="Arial"/>
                <w:color w:val="010000"/>
                <w:sz w:val="20"/>
                <w:szCs w:val="20"/>
              </w:rPr>
              <w:t xml:space="preserve"> are not more favorable than those extended to investors in the current plan, after the General Meeting of Shareholders’ approval, in accordance with the provisions of law.</w:t>
            </w:r>
          </w:p>
        </w:tc>
      </w:tr>
      <w:tr w:rsidR="00AD1E72" w:rsidRPr="004134F9" w14:paraId="51753A06" w14:textId="77777777" w:rsidTr="003961F8">
        <w:tc>
          <w:tcPr>
            <w:tcW w:w="1962" w:type="pct"/>
            <w:shd w:val="clear" w:color="auto" w:fill="auto"/>
            <w:vAlign w:val="center"/>
          </w:tcPr>
          <w:p w14:paraId="55C12BB0" w14:textId="77777777" w:rsidR="00AD1E72" w:rsidRPr="004134F9" w:rsidRDefault="0009523D" w:rsidP="004134F9">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Transfer conditions:</w:t>
            </w:r>
          </w:p>
        </w:tc>
        <w:tc>
          <w:tcPr>
            <w:tcW w:w="3038" w:type="pct"/>
            <w:shd w:val="clear" w:color="auto" w:fill="auto"/>
            <w:vAlign w:val="center"/>
          </w:tcPr>
          <w:p w14:paraId="6EB5D9E6" w14:textId="77777777" w:rsidR="00AD1E72" w:rsidRPr="004134F9" w:rsidRDefault="0009523D" w:rsidP="004134F9">
            <w:pPr>
              <w:pBdr>
                <w:top w:val="nil"/>
                <w:left w:val="nil"/>
                <w:bottom w:val="nil"/>
                <w:right w:val="nil"/>
                <w:between w:val="nil"/>
              </w:pBdr>
              <w:tabs>
                <w:tab w:val="left" w:pos="432"/>
                <w:tab w:val="left" w:pos="518"/>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The shares offered are subject to a one-year transfer restriction for professional securities investors from the date of offering completion, with exceptions for transfers among professional securities investors or as permitted by other provisions of law.</w:t>
            </w:r>
          </w:p>
        </w:tc>
      </w:tr>
      <w:tr w:rsidR="00AD1E72" w:rsidRPr="004134F9" w14:paraId="2BF1FD5E" w14:textId="77777777" w:rsidTr="003961F8">
        <w:tc>
          <w:tcPr>
            <w:tcW w:w="1962" w:type="pct"/>
            <w:shd w:val="clear" w:color="auto" w:fill="auto"/>
            <w:vAlign w:val="center"/>
          </w:tcPr>
          <w:p w14:paraId="193FE08F" w14:textId="77777777" w:rsidR="00AD1E72" w:rsidRPr="004134F9" w:rsidRDefault="0009523D" w:rsidP="004134F9">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Expected offering period:</w:t>
            </w:r>
          </w:p>
        </w:tc>
        <w:tc>
          <w:tcPr>
            <w:tcW w:w="3038" w:type="pct"/>
            <w:shd w:val="clear" w:color="auto" w:fill="auto"/>
            <w:vAlign w:val="center"/>
          </w:tcPr>
          <w:p w14:paraId="42968266" w14:textId="77777777" w:rsidR="00AD1E72" w:rsidRPr="004134F9" w:rsidRDefault="0009523D" w:rsidP="004134F9">
            <w:pPr>
              <w:pBdr>
                <w:top w:val="nil"/>
                <w:left w:val="nil"/>
                <w:bottom w:val="nil"/>
                <w:right w:val="nil"/>
                <w:between w:val="nil"/>
              </w:pBdr>
              <w:tabs>
                <w:tab w:val="left" w:pos="432"/>
                <w:tab w:val="left" w:pos="3437"/>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 In 2024. </w:t>
            </w:r>
          </w:p>
          <w:p w14:paraId="0674050A" w14:textId="2AA5B4B3" w:rsidR="00AD1E72" w:rsidRPr="004134F9" w:rsidRDefault="0009523D" w:rsidP="004134F9">
            <w:pPr>
              <w:pBdr>
                <w:top w:val="nil"/>
                <w:left w:val="nil"/>
                <w:bottom w:val="nil"/>
                <w:right w:val="nil"/>
                <w:between w:val="nil"/>
              </w:pBdr>
              <w:tabs>
                <w:tab w:val="left" w:pos="432"/>
                <w:tab w:val="left" w:pos="3437"/>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The General Meeting of Shareholders authorized the Board of Directors to decide on the time corresponding with the practical situation. The Company will announce the specific offering period after the State Securities Commission has written approval of the Company's private placement dossier.</w:t>
            </w:r>
          </w:p>
        </w:tc>
      </w:tr>
      <w:tr w:rsidR="00AD1E72" w:rsidRPr="004134F9" w14:paraId="28C9373D" w14:textId="77777777" w:rsidTr="003961F8">
        <w:tc>
          <w:tcPr>
            <w:tcW w:w="1962" w:type="pct"/>
            <w:shd w:val="clear" w:color="auto" w:fill="auto"/>
            <w:vAlign w:val="center"/>
          </w:tcPr>
          <w:p w14:paraId="7D91C37B" w14:textId="77777777" w:rsidR="00AD1E72" w:rsidRPr="004134F9" w:rsidRDefault="0009523D" w:rsidP="004134F9">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Plan to ensure that the share offering complies with regulations on foreign ownership rate:</w:t>
            </w:r>
          </w:p>
          <w:p w14:paraId="5C0538B2" w14:textId="77777777" w:rsidR="00AD1E72" w:rsidRPr="004134F9" w:rsidRDefault="00AD1E72" w:rsidP="004134F9">
            <w:pPr>
              <w:pBdr>
                <w:top w:val="nil"/>
                <w:left w:val="nil"/>
                <w:bottom w:val="nil"/>
                <w:right w:val="nil"/>
                <w:between w:val="nil"/>
              </w:pBdr>
              <w:tabs>
                <w:tab w:val="left" w:pos="432"/>
                <w:tab w:val="left" w:pos="604"/>
              </w:tabs>
              <w:spacing w:after="120" w:line="360" w:lineRule="auto"/>
              <w:jc w:val="both"/>
              <w:rPr>
                <w:rFonts w:ascii="Arial" w:eastAsia="Arial" w:hAnsi="Arial" w:cs="Arial"/>
                <w:color w:val="010000"/>
                <w:sz w:val="20"/>
                <w:szCs w:val="20"/>
              </w:rPr>
            </w:pPr>
          </w:p>
        </w:tc>
        <w:tc>
          <w:tcPr>
            <w:tcW w:w="3038" w:type="pct"/>
            <w:shd w:val="clear" w:color="auto" w:fill="auto"/>
            <w:vAlign w:val="center"/>
          </w:tcPr>
          <w:p w14:paraId="4F5CFDF9"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The General Meeting of Shareholders authorized the Board of Directors to approve the plan to ensure that the share offering complies with regulations on foreign ownership rate.</w:t>
            </w:r>
          </w:p>
          <w:p w14:paraId="3D881638" w14:textId="77777777" w:rsidR="00AD1E72" w:rsidRPr="004134F9" w:rsidRDefault="00AD1E72" w:rsidP="004134F9">
            <w:pPr>
              <w:pBdr>
                <w:top w:val="nil"/>
                <w:left w:val="nil"/>
                <w:bottom w:val="nil"/>
                <w:right w:val="nil"/>
                <w:between w:val="nil"/>
              </w:pBdr>
              <w:tabs>
                <w:tab w:val="left" w:pos="432"/>
                <w:tab w:val="left" w:pos="518"/>
              </w:tabs>
              <w:spacing w:after="120" w:line="360" w:lineRule="auto"/>
              <w:jc w:val="both"/>
              <w:rPr>
                <w:rFonts w:ascii="Arial" w:eastAsia="Arial" w:hAnsi="Arial" w:cs="Arial"/>
                <w:color w:val="010000"/>
                <w:sz w:val="20"/>
                <w:szCs w:val="20"/>
              </w:rPr>
            </w:pPr>
          </w:p>
        </w:tc>
      </w:tr>
      <w:tr w:rsidR="00AD1E72" w:rsidRPr="004134F9" w14:paraId="33BDD3B7" w14:textId="77777777" w:rsidTr="003961F8">
        <w:tc>
          <w:tcPr>
            <w:tcW w:w="1962" w:type="pct"/>
            <w:shd w:val="clear" w:color="auto" w:fill="auto"/>
            <w:vAlign w:val="center"/>
          </w:tcPr>
          <w:p w14:paraId="4A58F148" w14:textId="77777777" w:rsidR="00AD1E72" w:rsidRPr="004134F9" w:rsidRDefault="0009523D" w:rsidP="004134F9">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Plan on capital mobilization in case the proceeds from the offering do not suffice as expected:</w:t>
            </w:r>
          </w:p>
          <w:p w14:paraId="512D33FE" w14:textId="77777777" w:rsidR="00AD1E72" w:rsidRPr="004134F9" w:rsidRDefault="00AD1E72" w:rsidP="004134F9">
            <w:pPr>
              <w:pBdr>
                <w:top w:val="nil"/>
                <w:left w:val="nil"/>
                <w:bottom w:val="nil"/>
                <w:right w:val="nil"/>
                <w:between w:val="nil"/>
              </w:pBdr>
              <w:tabs>
                <w:tab w:val="left" w:pos="432"/>
                <w:tab w:val="left" w:pos="604"/>
              </w:tabs>
              <w:spacing w:after="120" w:line="360" w:lineRule="auto"/>
              <w:jc w:val="both"/>
              <w:rPr>
                <w:rFonts w:ascii="Arial" w:eastAsia="Arial" w:hAnsi="Arial" w:cs="Arial"/>
                <w:color w:val="010000"/>
                <w:sz w:val="20"/>
                <w:szCs w:val="20"/>
              </w:rPr>
            </w:pPr>
          </w:p>
        </w:tc>
        <w:tc>
          <w:tcPr>
            <w:tcW w:w="3038" w:type="pct"/>
            <w:shd w:val="clear" w:color="auto" w:fill="auto"/>
            <w:vAlign w:val="center"/>
          </w:tcPr>
          <w:p w14:paraId="4E307323"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 In case at the end of the offering period and extension period (if any) the Company does not offer all shares as registered, or the proceeds from the offering do not suffice as expected, the General Meeting of Shareholders authorizes The Board of Directors to decide on the use of other capital sources such as bank loans, personal loans, </w:t>
            </w:r>
            <w:r w:rsidRPr="004134F9">
              <w:rPr>
                <w:rFonts w:ascii="Arial" w:hAnsi="Arial" w:cs="Arial"/>
                <w:color w:val="010000"/>
                <w:sz w:val="20"/>
                <w:szCs w:val="20"/>
              </w:rPr>
              <w:lastRenderedPageBreak/>
              <w:t>and/or other solutions to ensure compliance with the provisions of law and internal regulations of the Company to implement the set plans.</w:t>
            </w:r>
          </w:p>
        </w:tc>
      </w:tr>
    </w:tbl>
    <w:p w14:paraId="146FF0B2" w14:textId="77777777" w:rsidR="00AD1E72" w:rsidRPr="004134F9" w:rsidRDefault="0009523D" w:rsidP="004134F9">
      <w:pPr>
        <w:pBdr>
          <w:top w:val="nil"/>
          <w:left w:val="nil"/>
          <w:bottom w:val="nil"/>
          <w:right w:val="nil"/>
          <w:between w:val="nil"/>
        </w:pBdr>
        <w:tabs>
          <w:tab w:val="left" w:pos="432"/>
          <w:tab w:val="left" w:pos="633"/>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lastRenderedPageBreak/>
        <w:t>II. Purpose and plan on using the proceeds from the offering:</w:t>
      </w:r>
    </w:p>
    <w:p w14:paraId="25718EA5"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In case the Company successfully conducts a private placement of 10,000,000 shares, the offering price is VND 10,000/share, and the expected proceeds received from the offering is VND 100,000,000,000. All proceeds are expected to serve additional working capital demand, including but not limited to the following activities: Trading in construction materials, civil construction, industrial cluster construction, debt payment to suppliers, production and business activities of the Company, etc.</w:t>
      </w:r>
    </w:p>
    <w:p w14:paraId="107A0957" w14:textId="69A9C6FC"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The General Meeting of Shareholders authorized the Board of Directors to develop a detailed capital use plan, adjust/amend the capital use plan and allocate the proceeds from the offering </w:t>
      </w:r>
      <w:r w:rsidR="00C8243F">
        <w:rPr>
          <w:rFonts w:ascii="Arial" w:hAnsi="Arial" w:cs="Arial"/>
          <w:color w:val="010000"/>
          <w:sz w:val="20"/>
          <w:szCs w:val="20"/>
        </w:rPr>
        <w:t>following</w:t>
      </w:r>
      <w:bookmarkStart w:id="1" w:name="_GoBack"/>
      <w:bookmarkEnd w:id="1"/>
      <w:r w:rsidRPr="004134F9">
        <w:rPr>
          <w:rFonts w:ascii="Arial" w:hAnsi="Arial" w:cs="Arial"/>
          <w:color w:val="010000"/>
          <w:sz w:val="20"/>
          <w:szCs w:val="20"/>
        </w:rPr>
        <w:t xml:space="preserve"> the practical situation of the Company's business activities, decide and/or flexibly adjust the details of the capital use plan, detailed usage items and disbursement time, change the capital use plan, and the proceeds from the offering with </w:t>
      </w:r>
      <w:r w:rsidR="00CB0F5A" w:rsidRPr="004134F9">
        <w:rPr>
          <w:rFonts w:ascii="Arial" w:hAnsi="Arial" w:cs="Arial"/>
          <w:color w:val="010000"/>
          <w:sz w:val="20"/>
          <w:szCs w:val="20"/>
        </w:rPr>
        <w:t xml:space="preserve">a </w:t>
      </w:r>
      <w:r w:rsidRPr="004134F9">
        <w:rPr>
          <w:rFonts w:ascii="Arial" w:hAnsi="Arial" w:cs="Arial"/>
          <w:color w:val="010000"/>
          <w:sz w:val="20"/>
          <w:szCs w:val="20"/>
        </w:rPr>
        <w:t>variable value less than 50% of the total mobilized amount.</w:t>
      </w:r>
    </w:p>
    <w:p w14:paraId="34C50754"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The General Meeting of Shareholders authorized the Board of Directors to proactively allocate </w:t>
      </w:r>
      <w:r w:rsidR="00CB0F5A" w:rsidRPr="004134F9">
        <w:rPr>
          <w:rFonts w:ascii="Arial" w:hAnsi="Arial" w:cs="Arial"/>
          <w:color w:val="010000"/>
          <w:sz w:val="20"/>
          <w:szCs w:val="20"/>
        </w:rPr>
        <w:t xml:space="preserve">an </w:t>
      </w:r>
      <w:r w:rsidRPr="004134F9">
        <w:rPr>
          <w:rFonts w:ascii="Arial" w:hAnsi="Arial" w:cs="Arial"/>
          <w:color w:val="010000"/>
          <w:sz w:val="20"/>
          <w:szCs w:val="20"/>
        </w:rPr>
        <w:t>additional amount (in case the total proceeds from the offering exceeds the total temporarily mobilized amount above) to supplement working capital and report to the General Meeting of Shareholders at the nearest meeting.</w:t>
      </w:r>
    </w:p>
    <w:p w14:paraId="05B6E840" w14:textId="77777777" w:rsidR="00AD1E72" w:rsidRPr="004134F9" w:rsidRDefault="0009523D" w:rsidP="004134F9">
      <w:pPr>
        <w:pBdr>
          <w:top w:val="nil"/>
          <w:left w:val="nil"/>
          <w:bottom w:val="nil"/>
          <w:right w:val="nil"/>
          <w:between w:val="nil"/>
        </w:pBdr>
        <w:tabs>
          <w:tab w:val="left" w:pos="432"/>
          <w:tab w:val="left" w:pos="633"/>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III. Additional listing and additional depository</w:t>
      </w:r>
    </w:p>
    <w:p w14:paraId="54F8A4B5"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All additional offered shares will be additionally deposited and listed by the Company according to regulations.</w:t>
      </w:r>
    </w:p>
    <w:p w14:paraId="61D39C34"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Article 11. Approve the Company's policy of signing contracts and transactions with related parties. </w:t>
      </w:r>
    </w:p>
    <w:p w14:paraId="0E1C58AD"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‎‎Article 12. Approve the relocation of the Company's headquarters </w:t>
      </w:r>
    </w:p>
    <w:p w14:paraId="708299E5" w14:textId="77777777" w:rsidR="00AD1E72" w:rsidRPr="004134F9" w:rsidRDefault="0009523D" w:rsidP="004134F9">
      <w:pPr>
        <w:numPr>
          <w:ilvl w:val="0"/>
          <w:numId w:val="2"/>
        </w:numPr>
        <w:pBdr>
          <w:top w:val="nil"/>
          <w:left w:val="nil"/>
          <w:bottom w:val="nil"/>
          <w:right w:val="nil"/>
          <w:between w:val="nil"/>
        </w:pBdr>
        <w:tabs>
          <w:tab w:val="left" w:pos="432"/>
          <w:tab w:val="left" w:pos="818"/>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Current headquarters address: No. 347 Tran Hung Dao Street, Tran Hung Dao Ward, </w:t>
      </w:r>
      <w:proofErr w:type="spellStart"/>
      <w:r w:rsidRPr="004134F9">
        <w:rPr>
          <w:rFonts w:ascii="Arial" w:hAnsi="Arial" w:cs="Arial"/>
          <w:color w:val="010000"/>
          <w:sz w:val="20"/>
          <w:szCs w:val="20"/>
        </w:rPr>
        <w:t>Quy</w:t>
      </w:r>
      <w:proofErr w:type="spellEnd"/>
      <w:r w:rsidRPr="004134F9">
        <w:rPr>
          <w:rFonts w:ascii="Arial" w:hAnsi="Arial" w:cs="Arial"/>
          <w:color w:val="010000"/>
          <w:sz w:val="20"/>
          <w:szCs w:val="20"/>
        </w:rPr>
        <w:t xml:space="preserve"> </w:t>
      </w:r>
      <w:proofErr w:type="spellStart"/>
      <w:r w:rsidRPr="004134F9">
        <w:rPr>
          <w:rFonts w:ascii="Arial" w:hAnsi="Arial" w:cs="Arial"/>
          <w:color w:val="010000"/>
          <w:sz w:val="20"/>
          <w:szCs w:val="20"/>
        </w:rPr>
        <w:t>Nhon</w:t>
      </w:r>
      <w:proofErr w:type="spellEnd"/>
      <w:r w:rsidRPr="004134F9">
        <w:rPr>
          <w:rFonts w:ascii="Arial" w:hAnsi="Arial" w:cs="Arial"/>
          <w:color w:val="010000"/>
          <w:sz w:val="20"/>
          <w:szCs w:val="20"/>
        </w:rPr>
        <w:t xml:space="preserve"> City, </w:t>
      </w:r>
      <w:proofErr w:type="spellStart"/>
      <w:proofErr w:type="gramStart"/>
      <w:r w:rsidRPr="004134F9">
        <w:rPr>
          <w:rFonts w:ascii="Arial" w:hAnsi="Arial" w:cs="Arial"/>
          <w:color w:val="010000"/>
          <w:sz w:val="20"/>
          <w:szCs w:val="20"/>
        </w:rPr>
        <w:t>Binh</w:t>
      </w:r>
      <w:proofErr w:type="spellEnd"/>
      <w:proofErr w:type="gramEnd"/>
      <w:r w:rsidRPr="004134F9">
        <w:rPr>
          <w:rFonts w:ascii="Arial" w:hAnsi="Arial" w:cs="Arial"/>
          <w:color w:val="010000"/>
          <w:sz w:val="20"/>
          <w:szCs w:val="20"/>
        </w:rPr>
        <w:t xml:space="preserve"> </w:t>
      </w:r>
      <w:proofErr w:type="spellStart"/>
      <w:r w:rsidRPr="004134F9">
        <w:rPr>
          <w:rFonts w:ascii="Arial" w:hAnsi="Arial" w:cs="Arial"/>
          <w:color w:val="010000"/>
          <w:sz w:val="20"/>
          <w:szCs w:val="20"/>
        </w:rPr>
        <w:t>Dinh</w:t>
      </w:r>
      <w:proofErr w:type="spellEnd"/>
      <w:r w:rsidRPr="004134F9">
        <w:rPr>
          <w:rFonts w:ascii="Arial" w:hAnsi="Arial" w:cs="Arial"/>
          <w:color w:val="010000"/>
          <w:sz w:val="20"/>
          <w:szCs w:val="20"/>
        </w:rPr>
        <w:t xml:space="preserve"> Province.</w:t>
      </w:r>
    </w:p>
    <w:p w14:paraId="5D56D71B" w14:textId="77777777" w:rsidR="00AD1E72" w:rsidRPr="004134F9" w:rsidRDefault="0009523D" w:rsidP="004134F9">
      <w:pPr>
        <w:numPr>
          <w:ilvl w:val="0"/>
          <w:numId w:val="2"/>
        </w:numPr>
        <w:pBdr>
          <w:top w:val="nil"/>
          <w:left w:val="nil"/>
          <w:bottom w:val="nil"/>
          <w:right w:val="nil"/>
          <w:between w:val="nil"/>
        </w:pBdr>
        <w:tabs>
          <w:tab w:val="left" w:pos="432"/>
          <w:tab w:val="left" w:pos="818"/>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New headquarters address: No. 81 Mai </w:t>
      </w:r>
      <w:proofErr w:type="spellStart"/>
      <w:r w:rsidRPr="004134F9">
        <w:rPr>
          <w:rFonts w:ascii="Arial" w:hAnsi="Arial" w:cs="Arial"/>
          <w:color w:val="010000"/>
          <w:sz w:val="20"/>
          <w:szCs w:val="20"/>
        </w:rPr>
        <w:t>Hac</w:t>
      </w:r>
      <w:proofErr w:type="spellEnd"/>
      <w:r w:rsidRPr="004134F9">
        <w:rPr>
          <w:rFonts w:ascii="Arial" w:hAnsi="Arial" w:cs="Arial"/>
          <w:color w:val="010000"/>
          <w:sz w:val="20"/>
          <w:szCs w:val="20"/>
        </w:rPr>
        <w:t xml:space="preserve"> De, </w:t>
      </w:r>
      <w:proofErr w:type="spellStart"/>
      <w:r w:rsidRPr="004134F9">
        <w:rPr>
          <w:rFonts w:ascii="Arial" w:hAnsi="Arial" w:cs="Arial"/>
          <w:color w:val="010000"/>
          <w:sz w:val="20"/>
          <w:szCs w:val="20"/>
        </w:rPr>
        <w:t>Ghenh</w:t>
      </w:r>
      <w:proofErr w:type="spellEnd"/>
      <w:r w:rsidRPr="004134F9">
        <w:rPr>
          <w:rFonts w:ascii="Arial" w:hAnsi="Arial" w:cs="Arial"/>
          <w:color w:val="010000"/>
          <w:sz w:val="20"/>
          <w:szCs w:val="20"/>
        </w:rPr>
        <w:t xml:space="preserve"> Rang Ward, </w:t>
      </w:r>
      <w:proofErr w:type="spellStart"/>
      <w:r w:rsidRPr="004134F9">
        <w:rPr>
          <w:rFonts w:ascii="Arial" w:hAnsi="Arial" w:cs="Arial"/>
          <w:color w:val="010000"/>
          <w:sz w:val="20"/>
          <w:szCs w:val="20"/>
        </w:rPr>
        <w:t>Quy</w:t>
      </w:r>
      <w:proofErr w:type="spellEnd"/>
      <w:r w:rsidRPr="004134F9">
        <w:rPr>
          <w:rFonts w:ascii="Arial" w:hAnsi="Arial" w:cs="Arial"/>
          <w:color w:val="010000"/>
          <w:sz w:val="20"/>
          <w:szCs w:val="20"/>
        </w:rPr>
        <w:t xml:space="preserve"> </w:t>
      </w:r>
      <w:proofErr w:type="spellStart"/>
      <w:r w:rsidRPr="004134F9">
        <w:rPr>
          <w:rFonts w:ascii="Arial" w:hAnsi="Arial" w:cs="Arial"/>
          <w:color w:val="010000"/>
          <w:sz w:val="20"/>
          <w:szCs w:val="20"/>
        </w:rPr>
        <w:t>Nhon</w:t>
      </w:r>
      <w:proofErr w:type="spellEnd"/>
      <w:r w:rsidRPr="004134F9">
        <w:rPr>
          <w:rFonts w:ascii="Arial" w:hAnsi="Arial" w:cs="Arial"/>
          <w:color w:val="010000"/>
          <w:sz w:val="20"/>
          <w:szCs w:val="20"/>
        </w:rPr>
        <w:t xml:space="preserve"> City, </w:t>
      </w:r>
      <w:proofErr w:type="spellStart"/>
      <w:proofErr w:type="gramStart"/>
      <w:r w:rsidRPr="004134F9">
        <w:rPr>
          <w:rFonts w:ascii="Arial" w:hAnsi="Arial" w:cs="Arial"/>
          <w:color w:val="010000"/>
          <w:sz w:val="20"/>
          <w:szCs w:val="20"/>
        </w:rPr>
        <w:t>Binh</w:t>
      </w:r>
      <w:proofErr w:type="spellEnd"/>
      <w:proofErr w:type="gramEnd"/>
      <w:r w:rsidRPr="004134F9">
        <w:rPr>
          <w:rFonts w:ascii="Arial" w:hAnsi="Arial" w:cs="Arial"/>
          <w:color w:val="010000"/>
          <w:sz w:val="20"/>
          <w:szCs w:val="20"/>
        </w:rPr>
        <w:t xml:space="preserve"> </w:t>
      </w:r>
      <w:proofErr w:type="spellStart"/>
      <w:r w:rsidRPr="004134F9">
        <w:rPr>
          <w:rFonts w:ascii="Arial" w:hAnsi="Arial" w:cs="Arial"/>
          <w:color w:val="010000"/>
          <w:sz w:val="20"/>
          <w:szCs w:val="20"/>
        </w:rPr>
        <w:t>Dinh</w:t>
      </w:r>
      <w:proofErr w:type="spellEnd"/>
      <w:r w:rsidRPr="004134F9">
        <w:rPr>
          <w:rFonts w:ascii="Arial" w:hAnsi="Arial" w:cs="Arial"/>
          <w:color w:val="010000"/>
          <w:sz w:val="20"/>
          <w:szCs w:val="20"/>
        </w:rPr>
        <w:t xml:space="preserve"> Province.</w:t>
      </w:r>
    </w:p>
    <w:p w14:paraId="67871CD2"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‎‎Article 13. Approve amendments and supplements to the Company's Charter. </w:t>
      </w:r>
    </w:p>
    <w:p w14:paraId="4569815A"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‎‎Article 14. Approve the </w:t>
      </w:r>
      <w:r w:rsidR="00CB0F5A" w:rsidRPr="004134F9">
        <w:rPr>
          <w:rFonts w:ascii="Arial" w:hAnsi="Arial" w:cs="Arial"/>
          <w:color w:val="010000"/>
          <w:sz w:val="20"/>
          <w:szCs w:val="20"/>
        </w:rPr>
        <w:t xml:space="preserve">dismissal of </w:t>
      </w:r>
      <w:r w:rsidRPr="004134F9">
        <w:rPr>
          <w:rFonts w:ascii="Arial" w:hAnsi="Arial" w:cs="Arial"/>
          <w:color w:val="010000"/>
          <w:sz w:val="20"/>
          <w:szCs w:val="20"/>
        </w:rPr>
        <w:t>member</w:t>
      </w:r>
      <w:r w:rsidR="00CB0F5A" w:rsidRPr="004134F9">
        <w:rPr>
          <w:rFonts w:ascii="Arial" w:hAnsi="Arial" w:cs="Arial"/>
          <w:color w:val="010000"/>
          <w:sz w:val="20"/>
          <w:szCs w:val="20"/>
        </w:rPr>
        <w:t>s</w:t>
      </w:r>
      <w:r w:rsidRPr="004134F9">
        <w:rPr>
          <w:rFonts w:ascii="Arial" w:hAnsi="Arial" w:cs="Arial"/>
          <w:color w:val="010000"/>
          <w:sz w:val="20"/>
          <w:szCs w:val="20"/>
        </w:rPr>
        <w:t xml:space="preserve"> of the Board of Directors. </w:t>
      </w:r>
    </w:p>
    <w:p w14:paraId="7B942419"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Article 15. Approve the regulations on additional member election to the Board of Directors for the 2022-2027 term. </w:t>
      </w:r>
    </w:p>
    <w:p w14:paraId="7D39BB14" w14:textId="77777777" w:rsidR="00AD1E72" w:rsidRPr="004134F9" w:rsidRDefault="0009523D" w:rsidP="004134F9">
      <w:pPr>
        <w:pBdr>
          <w:top w:val="nil"/>
          <w:left w:val="nil"/>
          <w:bottom w:val="nil"/>
          <w:right w:val="nil"/>
          <w:between w:val="nil"/>
        </w:pBdr>
        <w:tabs>
          <w:tab w:val="left" w:pos="432"/>
          <w:tab w:val="left" w:pos="7152"/>
          <w:tab w:val="left" w:pos="7709"/>
          <w:tab w:val="left" w:pos="8510"/>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Article 16. </w:t>
      </w:r>
      <w:r w:rsidR="00CB0F5A" w:rsidRPr="004134F9">
        <w:rPr>
          <w:rFonts w:ascii="Arial" w:hAnsi="Arial" w:cs="Arial"/>
          <w:color w:val="010000"/>
          <w:sz w:val="20"/>
          <w:szCs w:val="20"/>
        </w:rPr>
        <w:t>Approve the l</w:t>
      </w:r>
      <w:r w:rsidRPr="004134F9">
        <w:rPr>
          <w:rFonts w:ascii="Arial" w:hAnsi="Arial" w:cs="Arial"/>
          <w:color w:val="010000"/>
          <w:sz w:val="20"/>
          <w:szCs w:val="20"/>
        </w:rPr>
        <w:t xml:space="preserve">ist of candidates for the Board of Directors for the 2022-2027 term. </w:t>
      </w:r>
    </w:p>
    <w:p w14:paraId="2ACAF2F7"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‎‎Article 17. Approve the result of additional member election to the Board of Directors for the term 2022-2027.</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4"/>
        <w:gridCol w:w="3930"/>
        <w:gridCol w:w="4373"/>
      </w:tblGrid>
      <w:tr w:rsidR="00AD1E72" w:rsidRPr="004134F9" w14:paraId="11F21103" w14:textId="77777777" w:rsidTr="004134F9">
        <w:tc>
          <w:tcPr>
            <w:tcW w:w="396" w:type="pct"/>
            <w:shd w:val="clear" w:color="auto" w:fill="auto"/>
            <w:tcMar>
              <w:top w:w="0" w:type="dxa"/>
              <w:bottom w:w="0" w:type="dxa"/>
            </w:tcMar>
            <w:vAlign w:val="center"/>
          </w:tcPr>
          <w:p w14:paraId="46D7BB95" w14:textId="77777777" w:rsidR="00AD1E72" w:rsidRPr="004134F9" w:rsidRDefault="0009523D" w:rsidP="004134F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134F9">
              <w:rPr>
                <w:rFonts w:ascii="Arial" w:hAnsi="Arial" w:cs="Arial"/>
                <w:color w:val="010000"/>
                <w:sz w:val="20"/>
                <w:szCs w:val="20"/>
              </w:rPr>
              <w:lastRenderedPageBreak/>
              <w:t>No.</w:t>
            </w:r>
          </w:p>
        </w:tc>
        <w:tc>
          <w:tcPr>
            <w:tcW w:w="2179" w:type="pct"/>
            <w:shd w:val="clear" w:color="auto" w:fill="auto"/>
            <w:tcMar>
              <w:top w:w="0" w:type="dxa"/>
              <w:bottom w:w="0" w:type="dxa"/>
            </w:tcMar>
            <w:vAlign w:val="center"/>
          </w:tcPr>
          <w:p w14:paraId="5D441267" w14:textId="77777777" w:rsidR="00AD1E72" w:rsidRPr="004134F9" w:rsidRDefault="0009523D" w:rsidP="004134F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134F9">
              <w:rPr>
                <w:rFonts w:ascii="Arial" w:hAnsi="Arial" w:cs="Arial"/>
                <w:color w:val="010000"/>
                <w:sz w:val="20"/>
                <w:szCs w:val="20"/>
              </w:rPr>
              <w:t>Appointed candidate</w:t>
            </w:r>
          </w:p>
        </w:tc>
        <w:tc>
          <w:tcPr>
            <w:tcW w:w="2425" w:type="pct"/>
            <w:shd w:val="clear" w:color="auto" w:fill="auto"/>
            <w:tcMar>
              <w:top w:w="0" w:type="dxa"/>
              <w:bottom w:w="0" w:type="dxa"/>
            </w:tcMar>
            <w:vAlign w:val="center"/>
          </w:tcPr>
          <w:p w14:paraId="1782DA01" w14:textId="77777777" w:rsidR="00AD1E72" w:rsidRPr="004134F9" w:rsidRDefault="0009523D" w:rsidP="004134F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134F9">
              <w:rPr>
                <w:rFonts w:ascii="Arial" w:hAnsi="Arial" w:cs="Arial"/>
                <w:color w:val="010000"/>
                <w:sz w:val="20"/>
                <w:szCs w:val="20"/>
              </w:rPr>
              <w:t>Appointed position</w:t>
            </w:r>
          </w:p>
        </w:tc>
      </w:tr>
      <w:tr w:rsidR="00AD1E72" w:rsidRPr="004134F9" w14:paraId="016D86B1" w14:textId="77777777" w:rsidTr="004134F9">
        <w:tc>
          <w:tcPr>
            <w:tcW w:w="396" w:type="pct"/>
            <w:shd w:val="clear" w:color="auto" w:fill="auto"/>
            <w:tcMar>
              <w:top w:w="0" w:type="dxa"/>
              <w:bottom w:w="0" w:type="dxa"/>
            </w:tcMar>
            <w:vAlign w:val="center"/>
          </w:tcPr>
          <w:p w14:paraId="0E835FDB" w14:textId="77777777" w:rsidR="00AD1E72" w:rsidRPr="004134F9" w:rsidRDefault="0009523D" w:rsidP="004134F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134F9">
              <w:rPr>
                <w:rFonts w:ascii="Arial" w:hAnsi="Arial" w:cs="Arial"/>
                <w:color w:val="010000"/>
                <w:sz w:val="20"/>
                <w:szCs w:val="20"/>
              </w:rPr>
              <w:t>1</w:t>
            </w:r>
          </w:p>
        </w:tc>
        <w:tc>
          <w:tcPr>
            <w:tcW w:w="2179" w:type="pct"/>
            <w:shd w:val="clear" w:color="auto" w:fill="auto"/>
            <w:tcMar>
              <w:top w:w="0" w:type="dxa"/>
              <w:bottom w:w="0" w:type="dxa"/>
            </w:tcMar>
            <w:vAlign w:val="center"/>
          </w:tcPr>
          <w:p w14:paraId="61011E23"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Nguyen </w:t>
            </w:r>
            <w:proofErr w:type="spellStart"/>
            <w:r w:rsidRPr="004134F9">
              <w:rPr>
                <w:rFonts w:ascii="Arial" w:hAnsi="Arial" w:cs="Arial"/>
                <w:color w:val="010000"/>
                <w:sz w:val="20"/>
                <w:szCs w:val="20"/>
              </w:rPr>
              <w:t>Anh</w:t>
            </w:r>
            <w:proofErr w:type="spellEnd"/>
            <w:r w:rsidRPr="004134F9">
              <w:rPr>
                <w:rFonts w:ascii="Arial" w:hAnsi="Arial" w:cs="Arial"/>
                <w:color w:val="010000"/>
                <w:sz w:val="20"/>
                <w:szCs w:val="20"/>
              </w:rPr>
              <w:t xml:space="preserve"> Tuan</w:t>
            </w:r>
          </w:p>
        </w:tc>
        <w:tc>
          <w:tcPr>
            <w:tcW w:w="2425" w:type="pct"/>
            <w:shd w:val="clear" w:color="auto" w:fill="auto"/>
            <w:tcMar>
              <w:top w:w="0" w:type="dxa"/>
              <w:bottom w:w="0" w:type="dxa"/>
            </w:tcMar>
            <w:vAlign w:val="center"/>
          </w:tcPr>
          <w:p w14:paraId="02EE0CCB"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Independent member of the Board of Directors</w:t>
            </w:r>
          </w:p>
        </w:tc>
      </w:tr>
      <w:tr w:rsidR="00AD1E72" w:rsidRPr="004134F9" w14:paraId="5EDECE50" w14:textId="77777777" w:rsidTr="004134F9">
        <w:tc>
          <w:tcPr>
            <w:tcW w:w="396" w:type="pct"/>
            <w:shd w:val="clear" w:color="auto" w:fill="auto"/>
            <w:tcMar>
              <w:top w:w="0" w:type="dxa"/>
              <w:bottom w:w="0" w:type="dxa"/>
            </w:tcMar>
            <w:vAlign w:val="center"/>
          </w:tcPr>
          <w:p w14:paraId="61D4D798" w14:textId="77777777" w:rsidR="00AD1E72" w:rsidRPr="004134F9" w:rsidRDefault="0009523D" w:rsidP="004134F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134F9">
              <w:rPr>
                <w:rFonts w:ascii="Arial" w:hAnsi="Arial" w:cs="Arial"/>
                <w:color w:val="010000"/>
                <w:sz w:val="20"/>
                <w:szCs w:val="20"/>
              </w:rPr>
              <w:t>2</w:t>
            </w:r>
          </w:p>
        </w:tc>
        <w:tc>
          <w:tcPr>
            <w:tcW w:w="2179" w:type="pct"/>
            <w:shd w:val="clear" w:color="auto" w:fill="auto"/>
            <w:tcMar>
              <w:top w:w="0" w:type="dxa"/>
              <w:bottom w:w="0" w:type="dxa"/>
            </w:tcMar>
            <w:vAlign w:val="center"/>
          </w:tcPr>
          <w:p w14:paraId="3D5FC1E6"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 xml:space="preserve">Dao </w:t>
            </w:r>
            <w:proofErr w:type="spellStart"/>
            <w:r w:rsidRPr="004134F9">
              <w:rPr>
                <w:rFonts w:ascii="Arial" w:hAnsi="Arial" w:cs="Arial"/>
                <w:color w:val="010000"/>
                <w:sz w:val="20"/>
                <w:szCs w:val="20"/>
              </w:rPr>
              <w:t>Quang</w:t>
            </w:r>
            <w:proofErr w:type="spellEnd"/>
            <w:r w:rsidRPr="004134F9">
              <w:rPr>
                <w:rFonts w:ascii="Arial" w:hAnsi="Arial" w:cs="Arial"/>
                <w:color w:val="010000"/>
                <w:sz w:val="20"/>
                <w:szCs w:val="20"/>
              </w:rPr>
              <w:t xml:space="preserve"> </w:t>
            </w:r>
            <w:proofErr w:type="spellStart"/>
            <w:r w:rsidRPr="004134F9">
              <w:rPr>
                <w:rFonts w:ascii="Arial" w:hAnsi="Arial" w:cs="Arial"/>
                <w:color w:val="010000"/>
                <w:sz w:val="20"/>
                <w:szCs w:val="20"/>
              </w:rPr>
              <w:t>Trung</w:t>
            </w:r>
            <w:proofErr w:type="spellEnd"/>
          </w:p>
        </w:tc>
        <w:tc>
          <w:tcPr>
            <w:tcW w:w="2425" w:type="pct"/>
            <w:shd w:val="clear" w:color="auto" w:fill="auto"/>
            <w:tcMar>
              <w:top w:w="0" w:type="dxa"/>
              <w:bottom w:w="0" w:type="dxa"/>
            </w:tcMar>
            <w:vAlign w:val="center"/>
          </w:tcPr>
          <w:p w14:paraId="1D9E5991"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Member of the Board of Directors</w:t>
            </w:r>
          </w:p>
        </w:tc>
      </w:tr>
    </w:tbl>
    <w:p w14:paraId="249DCD92"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‎‎Article 18. Terms of enforcement</w:t>
      </w:r>
    </w:p>
    <w:p w14:paraId="54E43334" w14:textId="68266AE3" w:rsidR="00AD1E72" w:rsidRPr="004134F9" w:rsidRDefault="0009523D" w:rsidP="004134F9">
      <w:pPr>
        <w:pBdr>
          <w:top w:val="nil"/>
          <w:left w:val="nil"/>
          <w:bottom w:val="nil"/>
          <w:right w:val="nil"/>
          <w:between w:val="nil"/>
        </w:pBdr>
        <w:tabs>
          <w:tab w:val="left" w:pos="432"/>
          <w:tab w:val="left" w:pos="8976"/>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This General Mandate was approved in full text at the Annual General Meeting of Shareholders 2024 and t</w:t>
      </w:r>
      <w:r w:rsidR="00CB0F5A" w:rsidRPr="004134F9">
        <w:rPr>
          <w:rFonts w:ascii="Arial" w:hAnsi="Arial" w:cs="Arial"/>
          <w:color w:val="010000"/>
          <w:sz w:val="20"/>
          <w:szCs w:val="20"/>
        </w:rPr>
        <w:t xml:space="preserve">akes </w:t>
      </w:r>
      <w:r w:rsidRPr="004134F9">
        <w:rPr>
          <w:rFonts w:ascii="Arial" w:hAnsi="Arial" w:cs="Arial"/>
          <w:color w:val="010000"/>
          <w:sz w:val="20"/>
          <w:szCs w:val="20"/>
        </w:rPr>
        <w:t>effect from</w:t>
      </w:r>
      <w:r w:rsidR="004134F9">
        <w:rPr>
          <w:rFonts w:ascii="Arial" w:hAnsi="Arial" w:cs="Arial"/>
          <w:color w:val="010000"/>
          <w:sz w:val="20"/>
          <w:szCs w:val="20"/>
        </w:rPr>
        <w:t xml:space="preserve"> 25/05/2024</w:t>
      </w:r>
      <w:r w:rsidRPr="004134F9">
        <w:rPr>
          <w:rFonts w:ascii="Arial" w:hAnsi="Arial" w:cs="Arial"/>
          <w:color w:val="010000"/>
          <w:sz w:val="20"/>
          <w:szCs w:val="20"/>
        </w:rPr>
        <w:t xml:space="preserve">. </w:t>
      </w:r>
    </w:p>
    <w:p w14:paraId="518D3193" w14:textId="77777777" w:rsidR="00AD1E72" w:rsidRPr="004134F9" w:rsidRDefault="0009523D" w:rsidP="004134F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34F9">
        <w:rPr>
          <w:rFonts w:ascii="Arial" w:hAnsi="Arial" w:cs="Arial"/>
          <w:color w:val="010000"/>
          <w:sz w:val="20"/>
          <w:szCs w:val="20"/>
        </w:rPr>
        <w:t>The Board of Directors, the Board of Management of the Company, and relevant departments and individuals are responsible for implementing this General Mandate.</w:t>
      </w:r>
    </w:p>
    <w:sectPr w:rsidR="00AD1E72" w:rsidRPr="004134F9" w:rsidSect="003961F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81C59"/>
    <w:multiLevelType w:val="multilevel"/>
    <w:tmpl w:val="ACBAFFC4"/>
    <w:lvl w:ilvl="0">
      <w:start w:val="1"/>
      <w:numFmt w:val="decimal"/>
      <w:lvlText w:val="%1."/>
      <w:lvlJc w:val="left"/>
      <w:pPr>
        <w:ind w:left="0" w:firstLine="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FC0B41"/>
    <w:multiLevelType w:val="multilevel"/>
    <w:tmpl w:val="EFFC31F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72"/>
    <w:rsid w:val="0009523D"/>
    <w:rsid w:val="000C586A"/>
    <w:rsid w:val="003961F8"/>
    <w:rsid w:val="004134F9"/>
    <w:rsid w:val="0088249F"/>
    <w:rsid w:val="00AD1E72"/>
    <w:rsid w:val="00C66AAC"/>
    <w:rsid w:val="00C8243F"/>
    <w:rsid w:val="00CB0F5A"/>
    <w:rsid w:val="00DE4E06"/>
    <w:rsid w:val="00F17700"/>
    <w:rsid w:val="00F80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E352B"/>
  <w15:docId w15:val="{AEF07076-C0BF-4EAE-A3BD-578AF7B5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31618"/>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131618"/>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131618"/>
      <w:sz w:val="17"/>
      <w:szCs w:val="17"/>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F45D7A"/>
      <w:w w:val="80"/>
      <w:sz w:val="20"/>
      <w:szCs w:val="20"/>
      <w:u w:val="none"/>
      <w:shd w:val="clear" w:color="auto" w:fill="auto"/>
    </w:rPr>
  </w:style>
  <w:style w:type="character" w:customStyle="1" w:styleId="Vnbnnidung7">
    <w:name w:val="Văn bản nội dung (7)_"/>
    <w:basedOn w:val="DefaultParagraphFont"/>
    <w:link w:val="Vnbnnidung70"/>
    <w:rPr>
      <w:rFonts w:ascii="Times New Roman" w:eastAsia="Times New Roman" w:hAnsi="Times New Roman" w:cs="Times New Roman"/>
      <w:b w:val="0"/>
      <w:bCs w:val="0"/>
      <w:i w:val="0"/>
      <w:iCs w:val="0"/>
      <w:smallCaps/>
      <w:strike w:val="0"/>
      <w:color w:val="F45D7A"/>
      <w:sz w:val="36"/>
      <w:szCs w:val="3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44"/>
      <w:szCs w:val="44"/>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131618"/>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131618"/>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131618"/>
      <w:sz w:val="26"/>
      <w:szCs w:val="26"/>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strike w:val="0"/>
      <w:sz w:val="16"/>
      <w:szCs w:val="16"/>
      <w:u w:val="none"/>
      <w:shd w:val="clear" w:color="auto" w:fill="auto"/>
    </w:rPr>
  </w:style>
  <w:style w:type="paragraph" w:customStyle="1" w:styleId="Vnbnnidung0">
    <w:name w:val="Văn bản nội dung"/>
    <w:basedOn w:val="Normal"/>
    <w:link w:val="Vnbnnidung"/>
    <w:pPr>
      <w:spacing w:line="310" w:lineRule="auto"/>
    </w:pPr>
    <w:rPr>
      <w:rFonts w:ascii="Times New Roman" w:eastAsia="Times New Roman" w:hAnsi="Times New Roman" w:cs="Times New Roman"/>
      <w:color w:val="131618"/>
      <w:sz w:val="22"/>
      <w:szCs w:val="22"/>
    </w:rPr>
  </w:style>
  <w:style w:type="paragraph" w:customStyle="1" w:styleId="Tiu20">
    <w:name w:val="Tiêu đề #2"/>
    <w:basedOn w:val="Normal"/>
    <w:link w:val="Tiu2"/>
    <w:pPr>
      <w:spacing w:line="353" w:lineRule="auto"/>
      <w:outlineLvl w:val="1"/>
    </w:pPr>
    <w:rPr>
      <w:rFonts w:ascii="Times New Roman" w:eastAsia="Times New Roman" w:hAnsi="Times New Roman" w:cs="Times New Roman"/>
      <w:b/>
      <w:bCs/>
      <w:color w:val="131618"/>
      <w:sz w:val="22"/>
      <w:szCs w:val="22"/>
    </w:rPr>
  </w:style>
  <w:style w:type="paragraph" w:customStyle="1" w:styleId="Vnbnnidung30">
    <w:name w:val="Văn bản nội dung (3)"/>
    <w:basedOn w:val="Normal"/>
    <w:link w:val="Vnbnnidung3"/>
    <w:pPr>
      <w:ind w:left="1960"/>
    </w:pPr>
    <w:rPr>
      <w:rFonts w:ascii="Times New Roman" w:eastAsia="Times New Roman" w:hAnsi="Times New Roman" w:cs="Times New Roman"/>
      <w:b/>
      <w:bCs/>
      <w:color w:val="131618"/>
      <w:sz w:val="17"/>
      <w:szCs w:val="17"/>
    </w:rPr>
  </w:style>
  <w:style w:type="paragraph" w:customStyle="1" w:styleId="Vnbnnidung50">
    <w:name w:val="Văn bản nội dung (5)"/>
    <w:basedOn w:val="Normal"/>
    <w:link w:val="Vnbnnidung5"/>
    <w:pPr>
      <w:spacing w:line="266" w:lineRule="auto"/>
      <w:jc w:val="center"/>
    </w:pPr>
    <w:rPr>
      <w:rFonts w:ascii="Arial" w:eastAsia="Arial" w:hAnsi="Arial" w:cs="Arial"/>
      <w:b/>
      <w:bCs/>
      <w:color w:val="F45D7A"/>
      <w:w w:val="80"/>
      <w:sz w:val="20"/>
      <w:szCs w:val="20"/>
    </w:rPr>
  </w:style>
  <w:style w:type="paragraph" w:customStyle="1" w:styleId="Vnbnnidung70">
    <w:name w:val="Văn bản nội dung (7)"/>
    <w:basedOn w:val="Normal"/>
    <w:link w:val="Vnbnnidung7"/>
    <w:pPr>
      <w:spacing w:line="233" w:lineRule="auto"/>
      <w:jc w:val="right"/>
    </w:pPr>
    <w:rPr>
      <w:rFonts w:ascii="Times New Roman" w:eastAsia="Times New Roman" w:hAnsi="Times New Roman" w:cs="Times New Roman"/>
      <w:smallCaps/>
      <w:color w:val="F45D7A"/>
      <w:sz w:val="36"/>
      <w:szCs w:val="36"/>
    </w:rPr>
  </w:style>
  <w:style w:type="paragraph" w:customStyle="1" w:styleId="Vnbnnidung40">
    <w:name w:val="Văn bản nội dung (4)"/>
    <w:basedOn w:val="Normal"/>
    <w:link w:val="Vnbnnidung4"/>
    <w:pPr>
      <w:spacing w:line="216" w:lineRule="auto"/>
    </w:pPr>
    <w:rPr>
      <w:rFonts w:ascii="Arial" w:eastAsia="Arial" w:hAnsi="Arial" w:cs="Arial"/>
      <w:sz w:val="44"/>
      <w:szCs w:val="44"/>
    </w:rPr>
  </w:style>
  <w:style w:type="paragraph" w:customStyle="1" w:styleId="Vnbnnidung20">
    <w:name w:val="Văn bản nội dung (2)"/>
    <w:basedOn w:val="Normal"/>
    <w:link w:val="Vnbnnidung2"/>
    <w:rPr>
      <w:rFonts w:ascii="Arial" w:eastAsia="Arial" w:hAnsi="Arial" w:cs="Arial"/>
      <w:sz w:val="12"/>
      <w:szCs w:val="12"/>
    </w:rPr>
  </w:style>
  <w:style w:type="paragraph" w:customStyle="1" w:styleId="Chthchbng0">
    <w:name w:val="Chú thích bảng"/>
    <w:basedOn w:val="Normal"/>
    <w:link w:val="Chthchbng"/>
    <w:pPr>
      <w:spacing w:line="293" w:lineRule="auto"/>
    </w:pPr>
    <w:rPr>
      <w:rFonts w:ascii="Times New Roman" w:eastAsia="Times New Roman" w:hAnsi="Times New Roman" w:cs="Times New Roman"/>
      <w:color w:val="131618"/>
      <w:sz w:val="22"/>
      <w:szCs w:val="22"/>
    </w:rPr>
  </w:style>
  <w:style w:type="paragraph" w:customStyle="1" w:styleId="Khc0">
    <w:name w:val="Khác"/>
    <w:basedOn w:val="Normal"/>
    <w:link w:val="Khc"/>
    <w:pPr>
      <w:spacing w:line="310" w:lineRule="auto"/>
    </w:pPr>
    <w:rPr>
      <w:rFonts w:ascii="Times New Roman" w:eastAsia="Times New Roman" w:hAnsi="Times New Roman" w:cs="Times New Roman"/>
      <w:color w:val="131618"/>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color w:val="131618"/>
      <w:sz w:val="26"/>
      <w:szCs w:val="26"/>
    </w:rPr>
  </w:style>
  <w:style w:type="paragraph" w:customStyle="1" w:styleId="Vnbnnidung60">
    <w:name w:val="Văn bản nội dung (6)"/>
    <w:basedOn w:val="Normal"/>
    <w:link w:val="Vnbnnidung6"/>
    <w:pPr>
      <w:spacing w:line="199" w:lineRule="auto"/>
    </w:pPr>
    <w:rPr>
      <w:rFonts w:ascii="Arial" w:eastAsia="Arial" w:hAnsi="Arial" w:cs="Arial"/>
      <w:smallCaps/>
      <w:sz w:val="16"/>
      <w:szCs w:val="16"/>
    </w:rPr>
  </w:style>
  <w:style w:type="table" w:styleId="TableGrid">
    <w:name w:val="Table Grid"/>
    <w:basedOn w:val="TableNormal"/>
    <w:uiPriority w:val="39"/>
    <w:rsid w:val="000C3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qD9bxHeQKn+dUWLa2aylXpJ+A==">CgMxLjAyCGguZ2pkZ3hzOAByITE5cXpYOFdzWUN5aHRMM3NtZkZ4TlVSR1g2a0syREtUbA==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1292</Words>
  <Characters>7261</Characters>
  <Application>Microsoft Office Word</Application>
  <DocSecurity>0</DocSecurity>
  <Lines>208</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Thi Quynh Trang</cp:lastModifiedBy>
  <cp:revision>9</cp:revision>
  <dcterms:created xsi:type="dcterms:W3CDTF">2024-05-30T02:24:00Z</dcterms:created>
  <dcterms:modified xsi:type="dcterms:W3CDTF">2024-05-31T07:28:00Z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e2ded78bea8db23dff647250a55493af108336bae3cd4f914e892f229e07f95c</vt:lpwstr>
  </property>
</Properties>
</file>