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028B8" w:rsidRPr="002F4D0A" w:rsidRDefault="007C2830" w:rsidP="007542B6">
      <w:pPr>
        <w:widowControl/>
        <w:pBdr>
          <w:top w:val="nil"/>
          <w:left w:val="nil"/>
          <w:bottom w:val="nil"/>
          <w:right w:val="nil"/>
          <w:between w:val="nil"/>
        </w:pBdr>
        <w:tabs>
          <w:tab w:val="left" w:pos="450"/>
        </w:tabs>
        <w:spacing w:after="120" w:line="360" w:lineRule="auto"/>
        <w:rPr>
          <w:rFonts w:ascii="Arial" w:eastAsia="Arial" w:hAnsi="Arial" w:cs="Arial"/>
          <w:b/>
          <w:color w:val="010000"/>
          <w:sz w:val="20"/>
          <w:szCs w:val="20"/>
        </w:rPr>
      </w:pPr>
      <w:bookmarkStart w:id="0" w:name="_GoBack"/>
      <w:bookmarkEnd w:id="0"/>
      <w:r w:rsidRPr="002F4D0A">
        <w:rPr>
          <w:rFonts w:ascii="Arial" w:hAnsi="Arial" w:cs="Arial"/>
          <w:b/>
          <w:color w:val="010000"/>
          <w:sz w:val="20"/>
        </w:rPr>
        <w:t>PGB: Board Resolution</w:t>
      </w:r>
    </w:p>
    <w:p w14:paraId="00000002" w14:textId="601FBA4E" w:rsidR="00C028B8" w:rsidRPr="002F4D0A" w:rsidRDefault="007C2830" w:rsidP="007542B6">
      <w:pPr>
        <w:widowControl/>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F4D0A">
        <w:rPr>
          <w:rFonts w:ascii="Arial" w:hAnsi="Arial" w:cs="Arial"/>
          <w:color w:val="010000"/>
          <w:sz w:val="20"/>
        </w:rPr>
        <w:t>On May 28, 2024, Prosperity and Growth Commercial Joint Stock Bank announced Resolution No.</w:t>
      </w:r>
      <w:r w:rsidR="002F4D0A" w:rsidRPr="002F4D0A">
        <w:rPr>
          <w:rFonts w:ascii="Arial" w:hAnsi="Arial" w:cs="Arial"/>
          <w:color w:val="010000"/>
          <w:sz w:val="20"/>
        </w:rPr>
        <w:t xml:space="preserve"> </w:t>
      </w:r>
      <w:r w:rsidRPr="002F4D0A">
        <w:rPr>
          <w:rFonts w:ascii="Arial" w:hAnsi="Arial" w:cs="Arial"/>
          <w:color w:val="010000"/>
          <w:sz w:val="20"/>
        </w:rPr>
        <w:t xml:space="preserve">95 /2024/NQ-HDQT on implementing </w:t>
      </w:r>
      <w:r w:rsidR="006543B6" w:rsidRPr="002F4D0A">
        <w:rPr>
          <w:rFonts w:ascii="Arial" w:hAnsi="Arial" w:cs="Arial"/>
          <w:color w:val="010000"/>
          <w:sz w:val="20"/>
        </w:rPr>
        <w:t xml:space="preserve">the </w:t>
      </w:r>
      <w:r w:rsidRPr="002F4D0A">
        <w:rPr>
          <w:rFonts w:ascii="Arial" w:hAnsi="Arial" w:cs="Arial"/>
          <w:color w:val="010000"/>
          <w:sz w:val="20"/>
        </w:rPr>
        <w:t>Charter capital increase of PGBank as follows:</w:t>
      </w:r>
    </w:p>
    <w:p w14:paraId="00000003" w14:textId="5BB35BC5" w:rsidR="00C028B8" w:rsidRPr="002F4D0A" w:rsidRDefault="007C2830" w:rsidP="007542B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F4D0A">
        <w:rPr>
          <w:rFonts w:ascii="Arial" w:hAnsi="Arial" w:cs="Arial"/>
          <w:color w:val="010000"/>
          <w:sz w:val="20"/>
        </w:rPr>
        <w:t xml:space="preserve">Article 1: Approve on implementation of </w:t>
      </w:r>
      <w:r w:rsidR="006543B6" w:rsidRPr="002F4D0A">
        <w:rPr>
          <w:rFonts w:ascii="Arial" w:hAnsi="Arial" w:cs="Arial"/>
          <w:color w:val="010000"/>
          <w:sz w:val="20"/>
        </w:rPr>
        <w:t xml:space="preserve">the </w:t>
      </w:r>
      <w:r w:rsidRPr="002F4D0A">
        <w:rPr>
          <w:rFonts w:ascii="Arial" w:hAnsi="Arial" w:cs="Arial"/>
          <w:color w:val="010000"/>
          <w:sz w:val="20"/>
        </w:rPr>
        <w:t xml:space="preserve">plan on Charter capital increase </w:t>
      </w:r>
      <w:r w:rsidR="006543B6" w:rsidRPr="002F4D0A">
        <w:rPr>
          <w:rFonts w:ascii="Arial" w:hAnsi="Arial" w:cs="Arial"/>
          <w:color w:val="010000"/>
          <w:sz w:val="20"/>
        </w:rPr>
        <w:t>through</w:t>
      </w:r>
      <w:r w:rsidRPr="002F4D0A">
        <w:rPr>
          <w:rFonts w:ascii="Arial" w:hAnsi="Arial" w:cs="Arial"/>
          <w:color w:val="010000"/>
          <w:sz w:val="20"/>
        </w:rPr>
        <w:t xml:space="preserve"> </w:t>
      </w:r>
      <w:r w:rsidR="006543B6" w:rsidRPr="002F4D0A">
        <w:rPr>
          <w:rFonts w:ascii="Arial" w:hAnsi="Arial" w:cs="Arial"/>
          <w:color w:val="010000"/>
          <w:sz w:val="20"/>
        </w:rPr>
        <w:t xml:space="preserve">share </w:t>
      </w:r>
      <w:r w:rsidRPr="002F4D0A">
        <w:rPr>
          <w:rFonts w:ascii="Arial" w:hAnsi="Arial" w:cs="Arial"/>
          <w:color w:val="010000"/>
          <w:sz w:val="20"/>
        </w:rPr>
        <w:t>issuance for existing shareholders as follows:</w:t>
      </w:r>
    </w:p>
    <w:p w14:paraId="00000004" w14:textId="77777777" w:rsidR="00C028B8" w:rsidRPr="002F4D0A" w:rsidRDefault="007C2830" w:rsidP="007542B6">
      <w:pPr>
        <w:numPr>
          <w:ilvl w:val="0"/>
          <w:numId w:val="1"/>
        </w:numPr>
        <w:pBdr>
          <w:top w:val="nil"/>
          <w:left w:val="nil"/>
          <w:bottom w:val="nil"/>
          <w:right w:val="nil"/>
          <w:between w:val="nil"/>
        </w:pBdr>
        <w:tabs>
          <w:tab w:val="left" w:pos="450"/>
          <w:tab w:val="left" w:pos="711"/>
        </w:tabs>
        <w:spacing w:after="120" w:line="360" w:lineRule="auto"/>
        <w:rPr>
          <w:rFonts w:ascii="Arial" w:eastAsia="Arial" w:hAnsi="Arial" w:cs="Arial"/>
          <w:color w:val="010000"/>
          <w:sz w:val="20"/>
          <w:szCs w:val="20"/>
        </w:rPr>
      </w:pPr>
      <w:r w:rsidRPr="002F4D0A">
        <w:rPr>
          <w:rFonts w:ascii="Arial" w:hAnsi="Arial" w:cs="Arial"/>
          <w:color w:val="010000"/>
          <w:sz w:val="20"/>
        </w:rPr>
        <w:t>Share name: Prosperity and Growth Commercial Joint Stock Bank’s share</w:t>
      </w:r>
    </w:p>
    <w:p w14:paraId="00000005" w14:textId="77777777" w:rsidR="00C028B8" w:rsidRPr="002F4D0A" w:rsidRDefault="007C2830" w:rsidP="007542B6">
      <w:pPr>
        <w:numPr>
          <w:ilvl w:val="0"/>
          <w:numId w:val="1"/>
        </w:numPr>
        <w:pBdr>
          <w:top w:val="nil"/>
          <w:left w:val="nil"/>
          <w:bottom w:val="nil"/>
          <w:right w:val="nil"/>
          <w:between w:val="nil"/>
        </w:pBdr>
        <w:tabs>
          <w:tab w:val="left" w:pos="450"/>
          <w:tab w:val="left" w:pos="711"/>
        </w:tabs>
        <w:spacing w:after="120" w:line="360" w:lineRule="auto"/>
        <w:rPr>
          <w:rFonts w:ascii="Arial" w:eastAsia="Arial" w:hAnsi="Arial" w:cs="Arial"/>
          <w:color w:val="010000"/>
          <w:sz w:val="20"/>
          <w:szCs w:val="20"/>
        </w:rPr>
      </w:pPr>
      <w:r w:rsidRPr="002F4D0A">
        <w:rPr>
          <w:rFonts w:ascii="Arial" w:hAnsi="Arial" w:cs="Arial"/>
          <w:color w:val="010000"/>
          <w:sz w:val="20"/>
        </w:rPr>
        <w:t>Share code: PGB</w:t>
      </w:r>
    </w:p>
    <w:p w14:paraId="00000006" w14:textId="77777777" w:rsidR="00C028B8" w:rsidRPr="002F4D0A" w:rsidRDefault="007C2830" w:rsidP="007542B6">
      <w:pPr>
        <w:numPr>
          <w:ilvl w:val="0"/>
          <w:numId w:val="1"/>
        </w:numPr>
        <w:pBdr>
          <w:top w:val="nil"/>
          <w:left w:val="nil"/>
          <w:bottom w:val="nil"/>
          <w:right w:val="nil"/>
          <w:between w:val="nil"/>
        </w:pBdr>
        <w:tabs>
          <w:tab w:val="left" w:pos="450"/>
          <w:tab w:val="left" w:pos="711"/>
        </w:tabs>
        <w:spacing w:after="120" w:line="360" w:lineRule="auto"/>
        <w:rPr>
          <w:rFonts w:ascii="Arial" w:eastAsia="Arial" w:hAnsi="Arial" w:cs="Arial"/>
          <w:color w:val="010000"/>
          <w:sz w:val="20"/>
          <w:szCs w:val="20"/>
        </w:rPr>
      </w:pPr>
      <w:r w:rsidRPr="002F4D0A">
        <w:rPr>
          <w:rFonts w:ascii="Arial" w:hAnsi="Arial" w:cs="Arial"/>
          <w:color w:val="010000"/>
          <w:sz w:val="20"/>
        </w:rPr>
        <w:t>Share type: Common share</w:t>
      </w:r>
    </w:p>
    <w:p w14:paraId="00000007" w14:textId="77777777" w:rsidR="00C028B8" w:rsidRPr="002F4D0A" w:rsidRDefault="007C2830" w:rsidP="007542B6">
      <w:pPr>
        <w:numPr>
          <w:ilvl w:val="0"/>
          <w:numId w:val="1"/>
        </w:numPr>
        <w:pBdr>
          <w:top w:val="nil"/>
          <w:left w:val="nil"/>
          <w:bottom w:val="nil"/>
          <w:right w:val="nil"/>
          <w:between w:val="nil"/>
        </w:pBdr>
        <w:tabs>
          <w:tab w:val="left" w:pos="450"/>
          <w:tab w:val="left" w:pos="711"/>
        </w:tabs>
        <w:spacing w:after="120" w:line="360" w:lineRule="auto"/>
        <w:rPr>
          <w:rFonts w:ascii="Arial" w:eastAsia="Arial" w:hAnsi="Arial" w:cs="Arial"/>
          <w:color w:val="010000"/>
          <w:sz w:val="20"/>
          <w:szCs w:val="20"/>
        </w:rPr>
      </w:pPr>
      <w:r w:rsidRPr="002F4D0A">
        <w:rPr>
          <w:rFonts w:ascii="Arial" w:hAnsi="Arial" w:cs="Arial"/>
          <w:color w:val="010000"/>
          <w:sz w:val="20"/>
        </w:rPr>
        <w:t>Par value: VND 10,000</w:t>
      </w:r>
    </w:p>
    <w:p w14:paraId="00000008" w14:textId="3C3B27A4" w:rsidR="00C028B8" w:rsidRPr="002F4D0A" w:rsidRDefault="007C2830" w:rsidP="007542B6">
      <w:pPr>
        <w:numPr>
          <w:ilvl w:val="0"/>
          <w:numId w:val="1"/>
        </w:numPr>
        <w:pBdr>
          <w:top w:val="nil"/>
          <w:left w:val="nil"/>
          <w:bottom w:val="nil"/>
          <w:right w:val="nil"/>
          <w:between w:val="nil"/>
        </w:pBdr>
        <w:tabs>
          <w:tab w:val="left" w:pos="450"/>
          <w:tab w:val="left" w:pos="711"/>
        </w:tabs>
        <w:spacing w:after="120" w:line="360" w:lineRule="auto"/>
        <w:rPr>
          <w:rFonts w:ascii="Arial" w:eastAsia="Arial" w:hAnsi="Arial" w:cs="Arial"/>
          <w:color w:val="010000"/>
          <w:sz w:val="20"/>
          <w:szCs w:val="20"/>
        </w:rPr>
      </w:pPr>
      <w:r w:rsidRPr="002F4D0A">
        <w:rPr>
          <w:rFonts w:ascii="Arial" w:hAnsi="Arial" w:cs="Arial"/>
          <w:color w:val="010000"/>
          <w:sz w:val="20"/>
        </w:rPr>
        <w:t>Total number of issued shares: 420,000,000 shares.</w:t>
      </w:r>
    </w:p>
    <w:p w14:paraId="00000009" w14:textId="77777777" w:rsidR="00C028B8" w:rsidRPr="002F4D0A" w:rsidRDefault="007C2830" w:rsidP="007542B6">
      <w:pPr>
        <w:numPr>
          <w:ilvl w:val="0"/>
          <w:numId w:val="1"/>
        </w:numPr>
        <w:pBdr>
          <w:top w:val="nil"/>
          <w:left w:val="nil"/>
          <w:bottom w:val="nil"/>
          <w:right w:val="nil"/>
          <w:between w:val="nil"/>
        </w:pBdr>
        <w:tabs>
          <w:tab w:val="left" w:pos="450"/>
          <w:tab w:val="left" w:pos="711"/>
        </w:tabs>
        <w:spacing w:after="120" w:line="360" w:lineRule="auto"/>
        <w:rPr>
          <w:rFonts w:ascii="Arial" w:eastAsia="Arial" w:hAnsi="Arial" w:cs="Arial"/>
          <w:color w:val="010000"/>
          <w:sz w:val="20"/>
          <w:szCs w:val="20"/>
        </w:rPr>
      </w:pPr>
      <w:r w:rsidRPr="002F4D0A">
        <w:rPr>
          <w:rFonts w:ascii="Arial" w:hAnsi="Arial" w:cs="Arial"/>
          <w:color w:val="010000"/>
          <w:sz w:val="20"/>
        </w:rPr>
        <w:t>Number of outstanding shares: 420,000,000 shares</w:t>
      </w:r>
    </w:p>
    <w:p w14:paraId="0000000A" w14:textId="73415AAE" w:rsidR="00C028B8" w:rsidRPr="002F4D0A" w:rsidRDefault="007C2830" w:rsidP="007542B6">
      <w:pPr>
        <w:numPr>
          <w:ilvl w:val="0"/>
          <w:numId w:val="1"/>
        </w:numPr>
        <w:pBdr>
          <w:top w:val="nil"/>
          <w:left w:val="nil"/>
          <w:bottom w:val="nil"/>
          <w:right w:val="nil"/>
          <w:between w:val="nil"/>
        </w:pBdr>
        <w:tabs>
          <w:tab w:val="left" w:pos="450"/>
          <w:tab w:val="left" w:pos="711"/>
        </w:tabs>
        <w:spacing w:after="120" w:line="360" w:lineRule="auto"/>
        <w:rPr>
          <w:rFonts w:ascii="Arial" w:eastAsia="Arial" w:hAnsi="Arial" w:cs="Arial"/>
          <w:color w:val="010000"/>
          <w:sz w:val="20"/>
          <w:szCs w:val="20"/>
        </w:rPr>
      </w:pPr>
      <w:r w:rsidRPr="002F4D0A">
        <w:rPr>
          <w:rFonts w:ascii="Arial" w:hAnsi="Arial" w:cs="Arial"/>
          <w:color w:val="010000"/>
          <w:sz w:val="20"/>
        </w:rPr>
        <w:t xml:space="preserve">Number of treasury shares: 0 </w:t>
      </w:r>
      <w:r w:rsidR="007542B6" w:rsidRPr="002F4D0A">
        <w:rPr>
          <w:rFonts w:ascii="Arial" w:hAnsi="Arial" w:cs="Arial"/>
          <w:color w:val="010000"/>
          <w:sz w:val="20"/>
        </w:rPr>
        <w:t>shares</w:t>
      </w:r>
      <w:r w:rsidRPr="002F4D0A">
        <w:rPr>
          <w:rFonts w:ascii="Arial" w:hAnsi="Arial" w:cs="Arial"/>
          <w:color w:val="010000"/>
          <w:sz w:val="20"/>
        </w:rPr>
        <w:t>.</w:t>
      </w:r>
    </w:p>
    <w:p w14:paraId="0000000B" w14:textId="77777777" w:rsidR="00C028B8" w:rsidRPr="002F4D0A" w:rsidRDefault="007C2830" w:rsidP="007542B6">
      <w:pPr>
        <w:numPr>
          <w:ilvl w:val="0"/>
          <w:numId w:val="1"/>
        </w:numPr>
        <w:pBdr>
          <w:top w:val="nil"/>
          <w:left w:val="nil"/>
          <w:bottom w:val="nil"/>
          <w:right w:val="nil"/>
          <w:between w:val="nil"/>
        </w:pBdr>
        <w:tabs>
          <w:tab w:val="left" w:pos="450"/>
          <w:tab w:val="left" w:pos="711"/>
        </w:tabs>
        <w:spacing w:after="120" w:line="360" w:lineRule="auto"/>
        <w:rPr>
          <w:rFonts w:ascii="Arial" w:eastAsia="Arial" w:hAnsi="Arial" w:cs="Arial"/>
          <w:color w:val="010000"/>
          <w:sz w:val="20"/>
          <w:szCs w:val="20"/>
        </w:rPr>
      </w:pPr>
      <w:r w:rsidRPr="002F4D0A">
        <w:rPr>
          <w:rFonts w:ascii="Arial" w:hAnsi="Arial" w:cs="Arial"/>
          <w:color w:val="010000"/>
          <w:sz w:val="20"/>
        </w:rPr>
        <w:t>Number of preferred shares: None.</w:t>
      </w:r>
    </w:p>
    <w:p w14:paraId="0000000C" w14:textId="7F0ADF80" w:rsidR="00C028B8" w:rsidRPr="002F4D0A" w:rsidRDefault="007C2830" w:rsidP="007542B6">
      <w:pPr>
        <w:numPr>
          <w:ilvl w:val="0"/>
          <w:numId w:val="1"/>
        </w:numPr>
        <w:pBdr>
          <w:top w:val="nil"/>
          <w:left w:val="nil"/>
          <w:bottom w:val="nil"/>
          <w:right w:val="nil"/>
          <w:between w:val="nil"/>
        </w:pBdr>
        <w:tabs>
          <w:tab w:val="left" w:pos="450"/>
          <w:tab w:val="left" w:pos="711"/>
        </w:tabs>
        <w:spacing w:after="120" w:line="360" w:lineRule="auto"/>
        <w:rPr>
          <w:rFonts w:ascii="Arial" w:eastAsia="Arial" w:hAnsi="Arial" w:cs="Arial"/>
          <w:color w:val="010000"/>
          <w:sz w:val="20"/>
          <w:szCs w:val="20"/>
        </w:rPr>
      </w:pPr>
      <w:r w:rsidRPr="002F4D0A">
        <w:rPr>
          <w:rFonts w:ascii="Arial" w:hAnsi="Arial" w:cs="Arial"/>
          <w:color w:val="010000"/>
          <w:sz w:val="20"/>
        </w:rPr>
        <w:t xml:space="preserve">Increase </w:t>
      </w:r>
      <w:r w:rsidR="006543B6" w:rsidRPr="002F4D0A">
        <w:rPr>
          <w:rFonts w:ascii="Arial" w:hAnsi="Arial" w:cs="Arial"/>
          <w:color w:val="010000"/>
          <w:sz w:val="20"/>
        </w:rPr>
        <w:t xml:space="preserve">the charter capital </w:t>
      </w:r>
      <w:r w:rsidR="002F4D0A" w:rsidRPr="002F4D0A">
        <w:rPr>
          <w:rFonts w:ascii="Arial" w:hAnsi="Arial" w:cs="Arial"/>
          <w:color w:val="010000"/>
          <w:sz w:val="20"/>
        </w:rPr>
        <w:t>by</w:t>
      </w:r>
      <w:r w:rsidR="006543B6" w:rsidRPr="002F4D0A">
        <w:rPr>
          <w:rFonts w:ascii="Arial" w:hAnsi="Arial" w:cs="Arial"/>
          <w:color w:val="010000"/>
          <w:sz w:val="20"/>
        </w:rPr>
        <w:t xml:space="preserve"> </w:t>
      </w:r>
      <w:r w:rsidRPr="002F4D0A">
        <w:rPr>
          <w:rFonts w:ascii="Arial" w:hAnsi="Arial" w:cs="Arial"/>
          <w:color w:val="010000"/>
          <w:sz w:val="20"/>
        </w:rPr>
        <w:t>VND 800,000,000,000 through issuance for existing shareholders:</w:t>
      </w:r>
    </w:p>
    <w:p w14:paraId="0000000D" w14:textId="77777777" w:rsidR="00C028B8" w:rsidRPr="002F4D0A" w:rsidRDefault="007C2830" w:rsidP="007542B6">
      <w:pPr>
        <w:numPr>
          <w:ilvl w:val="0"/>
          <w:numId w:val="2"/>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F4D0A">
        <w:rPr>
          <w:rFonts w:ascii="Arial" w:hAnsi="Arial" w:cs="Arial"/>
          <w:color w:val="010000"/>
          <w:sz w:val="20"/>
        </w:rPr>
        <w:t>Number of shares expected to be issued 80,000,000 shares.</w:t>
      </w:r>
    </w:p>
    <w:p w14:paraId="0000000E" w14:textId="6B41B8FD" w:rsidR="00C028B8" w:rsidRPr="002F4D0A" w:rsidRDefault="007C2830" w:rsidP="007542B6">
      <w:pPr>
        <w:numPr>
          <w:ilvl w:val="0"/>
          <w:numId w:val="2"/>
        </w:numPr>
        <w:pBdr>
          <w:top w:val="nil"/>
          <w:left w:val="nil"/>
          <w:bottom w:val="nil"/>
          <w:right w:val="nil"/>
          <w:between w:val="nil"/>
        </w:pBdr>
        <w:tabs>
          <w:tab w:val="left" w:pos="450"/>
          <w:tab w:val="left" w:pos="1010"/>
        </w:tabs>
        <w:spacing w:after="120" w:line="360" w:lineRule="auto"/>
        <w:rPr>
          <w:rFonts w:ascii="Arial" w:eastAsia="Arial" w:hAnsi="Arial" w:cs="Arial"/>
          <w:color w:val="010000"/>
          <w:sz w:val="20"/>
          <w:szCs w:val="20"/>
        </w:rPr>
      </w:pPr>
      <w:r w:rsidRPr="002F4D0A">
        <w:rPr>
          <w:rFonts w:ascii="Arial" w:hAnsi="Arial" w:cs="Arial"/>
          <w:color w:val="010000"/>
          <w:sz w:val="20"/>
        </w:rPr>
        <w:t>The distribution rate: Shareholders included in the list at the record date have rights to receive additionally issued shares with the distribution rate as 21:4, accordingly, shareholders owning each 01 share at the record date for the list of shareholders will receive 01 right to buy additionally offering shares. For every 21 rights, shareholders will be entitled to purchase 4 new shares).</w:t>
      </w:r>
    </w:p>
    <w:p w14:paraId="0000000F" w14:textId="5362A3D7" w:rsidR="00C028B8" w:rsidRPr="002F4D0A" w:rsidRDefault="007C2830" w:rsidP="007542B6">
      <w:pPr>
        <w:numPr>
          <w:ilvl w:val="0"/>
          <w:numId w:val="2"/>
        </w:numPr>
        <w:pBdr>
          <w:top w:val="nil"/>
          <w:left w:val="nil"/>
          <w:bottom w:val="nil"/>
          <w:right w:val="nil"/>
          <w:between w:val="nil"/>
        </w:pBdr>
        <w:tabs>
          <w:tab w:val="left" w:pos="450"/>
          <w:tab w:val="left" w:pos="1010"/>
        </w:tabs>
        <w:spacing w:after="120" w:line="360" w:lineRule="auto"/>
        <w:rPr>
          <w:rFonts w:ascii="Arial" w:eastAsia="Arial" w:hAnsi="Arial" w:cs="Arial"/>
          <w:color w:val="010000"/>
          <w:sz w:val="20"/>
          <w:szCs w:val="20"/>
        </w:rPr>
      </w:pPr>
      <w:r w:rsidRPr="002F4D0A">
        <w:rPr>
          <w:rFonts w:ascii="Arial" w:hAnsi="Arial" w:cs="Arial"/>
          <w:color w:val="010000"/>
          <w:sz w:val="20"/>
        </w:rPr>
        <w:t>Subjects of the issuance: Shareholders included in the list of shareholders at the record date to exercise issuance right for existing shareholders in accordance with the Board Resolution confirmed by Vietnam Securities Depository and Clearing Corporation.</w:t>
      </w:r>
    </w:p>
    <w:p w14:paraId="00000010" w14:textId="77777777" w:rsidR="00C028B8" w:rsidRPr="002F4D0A" w:rsidRDefault="007C2830" w:rsidP="007542B6">
      <w:pPr>
        <w:numPr>
          <w:ilvl w:val="0"/>
          <w:numId w:val="2"/>
        </w:numPr>
        <w:pBdr>
          <w:top w:val="nil"/>
          <w:left w:val="nil"/>
          <w:bottom w:val="nil"/>
          <w:right w:val="nil"/>
          <w:between w:val="nil"/>
        </w:pBdr>
        <w:tabs>
          <w:tab w:val="left" w:pos="450"/>
          <w:tab w:val="left" w:pos="1010"/>
        </w:tabs>
        <w:spacing w:after="120" w:line="360" w:lineRule="auto"/>
        <w:rPr>
          <w:rFonts w:ascii="Arial" w:eastAsia="Arial" w:hAnsi="Arial" w:cs="Arial"/>
          <w:color w:val="010000"/>
          <w:sz w:val="20"/>
          <w:szCs w:val="20"/>
        </w:rPr>
      </w:pPr>
      <w:r w:rsidRPr="002F4D0A">
        <w:rPr>
          <w:rFonts w:ascii="Arial" w:hAnsi="Arial" w:cs="Arial"/>
          <w:color w:val="010000"/>
          <w:sz w:val="20"/>
        </w:rPr>
        <w:t>Plan on handling fractional shares:</w:t>
      </w:r>
    </w:p>
    <w:p w14:paraId="00000011" w14:textId="0EE79196" w:rsidR="00C028B8" w:rsidRPr="002F4D0A" w:rsidRDefault="007C2830" w:rsidP="007542B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F4D0A">
        <w:rPr>
          <w:rFonts w:ascii="Arial" w:hAnsi="Arial" w:cs="Arial"/>
          <w:color w:val="010000"/>
          <w:sz w:val="20"/>
        </w:rPr>
        <w:t>The Board of Directors decides on handling the number of shares that shareholders do not register/exercise the right to buy, including but not limited to offering other investors in accordance with the provisions of law, ensuring the maximum foreign ownership rate to be applied in PGBank.</w:t>
      </w:r>
    </w:p>
    <w:p w14:paraId="00000012" w14:textId="617A1359" w:rsidR="00C028B8" w:rsidRPr="002F4D0A" w:rsidRDefault="007C2830" w:rsidP="007542B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F4D0A">
        <w:rPr>
          <w:rFonts w:ascii="Arial" w:hAnsi="Arial" w:cs="Arial"/>
          <w:color w:val="010000"/>
          <w:sz w:val="20"/>
        </w:rPr>
        <w:t xml:space="preserve">The number of shares issued according to the distribution rate for each shareholder is calculated in integers, and the decimal part will not be rounded up to 01 share. The number of fractional shares resulting from rounding down (if any) shall be decided by the Board of Directors to either cancel or offer to sell to other investors </w:t>
      </w:r>
      <w:r w:rsidR="002F4D0A" w:rsidRPr="002F4D0A">
        <w:rPr>
          <w:rFonts w:ascii="Arial" w:hAnsi="Arial" w:cs="Arial"/>
          <w:color w:val="010000"/>
          <w:sz w:val="20"/>
        </w:rPr>
        <w:t>by</w:t>
      </w:r>
      <w:r w:rsidRPr="002F4D0A">
        <w:rPr>
          <w:rFonts w:ascii="Arial" w:hAnsi="Arial" w:cs="Arial"/>
          <w:color w:val="010000"/>
          <w:sz w:val="20"/>
        </w:rPr>
        <w:t xml:space="preserve"> the provisions of law.</w:t>
      </w:r>
    </w:p>
    <w:p w14:paraId="00000013" w14:textId="77777777" w:rsidR="00C028B8" w:rsidRPr="002F4D0A" w:rsidRDefault="007C2830" w:rsidP="007542B6">
      <w:pPr>
        <w:numPr>
          <w:ilvl w:val="0"/>
          <w:numId w:val="2"/>
        </w:numPr>
        <w:pBdr>
          <w:top w:val="nil"/>
          <w:left w:val="nil"/>
          <w:bottom w:val="nil"/>
          <w:right w:val="nil"/>
          <w:between w:val="nil"/>
        </w:pBdr>
        <w:tabs>
          <w:tab w:val="left" w:pos="450"/>
          <w:tab w:val="left" w:pos="1010"/>
        </w:tabs>
        <w:spacing w:after="120" w:line="360" w:lineRule="auto"/>
        <w:rPr>
          <w:rFonts w:ascii="Arial" w:eastAsia="Arial" w:hAnsi="Arial" w:cs="Arial"/>
          <w:color w:val="010000"/>
          <w:sz w:val="20"/>
          <w:szCs w:val="20"/>
        </w:rPr>
      </w:pPr>
      <w:r w:rsidRPr="002F4D0A">
        <w:rPr>
          <w:rFonts w:ascii="Arial" w:hAnsi="Arial" w:cs="Arial"/>
          <w:color w:val="010000"/>
          <w:sz w:val="20"/>
        </w:rPr>
        <w:t>Implementation time: Expected in Q3/2025.</w:t>
      </w:r>
    </w:p>
    <w:p w14:paraId="00000014" w14:textId="68599949" w:rsidR="00C028B8" w:rsidRPr="002F4D0A" w:rsidRDefault="007C2830" w:rsidP="007542B6">
      <w:pPr>
        <w:numPr>
          <w:ilvl w:val="0"/>
          <w:numId w:val="2"/>
        </w:numPr>
        <w:pBdr>
          <w:top w:val="nil"/>
          <w:left w:val="nil"/>
          <w:bottom w:val="nil"/>
          <w:right w:val="nil"/>
          <w:between w:val="nil"/>
        </w:pBdr>
        <w:tabs>
          <w:tab w:val="left" w:pos="450"/>
          <w:tab w:val="left" w:pos="1010"/>
        </w:tabs>
        <w:spacing w:after="120" w:line="360" w:lineRule="auto"/>
        <w:rPr>
          <w:rFonts w:ascii="Arial" w:eastAsia="Arial" w:hAnsi="Arial" w:cs="Arial"/>
          <w:color w:val="010000"/>
          <w:sz w:val="20"/>
          <w:szCs w:val="20"/>
        </w:rPr>
      </w:pPr>
      <w:r w:rsidRPr="002F4D0A">
        <w:rPr>
          <w:rFonts w:ascii="Arial" w:hAnsi="Arial" w:cs="Arial"/>
          <w:color w:val="010000"/>
          <w:sz w:val="20"/>
        </w:rPr>
        <w:t xml:space="preserve">Time of charter capital increase recorded by PGBank: when PGBank receives the amendment to the Business Registration Certificate recording new charter capital grade from the Hanoi </w:t>
      </w:r>
      <w:r w:rsidR="002F4D0A" w:rsidRPr="002F4D0A">
        <w:rPr>
          <w:rFonts w:ascii="Arial" w:hAnsi="Arial" w:cs="Arial"/>
          <w:color w:val="010000"/>
          <w:sz w:val="20"/>
        </w:rPr>
        <w:t>Authority for</w:t>
      </w:r>
      <w:r w:rsidRPr="002F4D0A">
        <w:rPr>
          <w:rFonts w:ascii="Arial" w:hAnsi="Arial" w:cs="Arial"/>
          <w:color w:val="010000"/>
          <w:sz w:val="20"/>
        </w:rPr>
        <w:t xml:space="preserve"> </w:t>
      </w:r>
      <w:r w:rsidRPr="002F4D0A">
        <w:rPr>
          <w:rFonts w:ascii="Arial" w:hAnsi="Arial" w:cs="Arial"/>
          <w:color w:val="010000"/>
          <w:sz w:val="20"/>
        </w:rPr>
        <w:lastRenderedPageBreak/>
        <w:t xml:space="preserve">Planning and Investment. </w:t>
      </w:r>
    </w:p>
    <w:p w14:paraId="00000015" w14:textId="0A9CB976" w:rsidR="00C028B8" w:rsidRPr="002F4D0A" w:rsidRDefault="007C2830" w:rsidP="007542B6">
      <w:pPr>
        <w:numPr>
          <w:ilvl w:val="0"/>
          <w:numId w:val="2"/>
        </w:numPr>
        <w:pBdr>
          <w:top w:val="nil"/>
          <w:left w:val="nil"/>
          <w:bottom w:val="nil"/>
          <w:right w:val="nil"/>
          <w:between w:val="nil"/>
        </w:pBdr>
        <w:tabs>
          <w:tab w:val="left" w:pos="450"/>
          <w:tab w:val="left" w:pos="1010"/>
        </w:tabs>
        <w:spacing w:after="120" w:line="360" w:lineRule="auto"/>
        <w:rPr>
          <w:rFonts w:ascii="Arial" w:eastAsia="Arial" w:hAnsi="Arial" w:cs="Arial"/>
          <w:color w:val="010000"/>
          <w:sz w:val="20"/>
          <w:szCs w:val="20"/>
        </w:rPr>
      </w:pPr>
      <w:r w:rsidRPr="002F4D0A">
        <w:rPr>
          <w:rFonts w:ascii="Arial" w:hAnsi="Arial" w:cs="Arial"/>
          <w:color w:val="010000"/>
          <w:sz w:val="20"/>
        </w:rPr>
        <w:t>Information disclosure: PGBank implements information disclosure on the plan on the charter capital increase and share issuance exactly in accordance with the provisions of law and instructions from the State Bank, the State Securities Commission, Hanoi Stock Exchange.</w:t>
      </w:r>
      <w:r w:rsidR="00333870" w:rsidRPr="002F4D0A">
        <w:rPr>
          <w:rFonts w:ascii="Arial" w:hAnsi="Arial" w:cs="Arial"/>
          <w:color w:val="010000"/>
          <w:sz w:val="20"/>
        </w:rPr>
        <w:t xml:space="preserve"> </w:t>
      </w:r>
    </w:p>
    <w:p w14:paraId="00000016" w14:textId="1379DC5B" w:rsidR="00C028B8" w:rsidRPr="002F4D0A" w:rsidRDefault="007C2830" w:rsidP="007542B6">
      <w:pPr>
        <w:pBdr>
          <w:top w:val="nil"/>
          <w:left w:val="nil"/>
          <w:bottom w:val="nil"/>
          <w:right w:val="nil"/>
          <w:between w:val="nil"/>
        </w:pBdr>
        <w:tabs>
          <w:tab w:val="left" w:pos="450"/>
          <w:tab w:val="left" w:pos="1010"/>
        </w:tabs>
        <w:spacing w:after="120" w:line="360" w:lineRule="auto"/>
        <w:rPr>
          <w:rFonts w:ascii="Arial" w:eastAsia="Arial" w:hAnsi="Arial" w:cs="Arial"/>
          <w:color w:val="010000"/>
          <w:sz w:val="20"/>
          <w:szCs w:val="20"/>
        </w:rPr>
      </w:pPr>
      <w:r w:rsidRPr="002F4D0A">
        <w:rPr>
          <w:rFonts w:ascii="Arial" w:hAnsi="Arial" w:cs="Arial"/>
          <w:color w:val="010000"/>
          <w:sz w:val="20"/>
        </w:rPr>
        <w:t xml:space="preserve">Article 2: Agree and continue selecting DSC Securities Corporation (DSC) to be the </w:t>
      </w:r>
      <w:r w:rsidR="002F4D0A" w:rsidRPr="002F4D0A">
        <w:rPr>
          <w:rFonts w:ascii="Arial" w:hAnsi="Arial" w:cs="Arial"/>
          <w:color w:val="010000"/>
          <w:sz w:val="20"/>
        </w:rPr>
        <w:t>C</w:t>
      </w:r>
      <w:r w:rsidRPr="002F4D0A">
        <w:rPr>
          <w:rFonts w:ascii="Arial" w:hAnsi="Arial" w:cs="Arial"/>
          <w:color w:val="010000"/>
          <w:sz w:val="20"/>
        </w:rPr>
        <w:t xml:space="preserve">onsulting </w:t>
      </w:r>
      <w:r w:rsidR="002F4D0A" w:rsidRPr="002F4D0A">
        <w:rPr>
          <w:rFonts w:ascii="Arial" w:hAnsi="Arial" w:cs="Arial"/>
          <w:color w:val="010000"/>
          <w:sz w:val="20"/>
        </w:rPr>
        <w:t>u</w:t>
      </w:r>
      <w:r w:rsidRPr="002F4D0A">
        <w:rPr>
          <w:rFonts w:ascii="Arial" w:hAnsi="Arial" w:cs="Arial"/>
          <w:color w:val="010000"/>
          <w:sz w:val="20"/>
        </w:rPr>
        <w:t>nit for the implementation of the Plan on charter capital increase implemented in 2023 and continually implemented in 2024 in PGBank in accordance with contents, terms in consulting services Contract No.</w:t>
      </w:r>
      <w:r w:rsidR="002F4D0A" w:rsidRPr="002F4D0A">
        <w:rPr>
          <w:rFonts w:ascii="Arial" w:hAnsi="Arial" w:cs="Arial"/>
          <w:color w:val="010000"/>
          <w:sz w:val="20"/>
        </w:rPr>
        <w:t xml:space="preserve"> </w:t>
      </w:r>
      <w:r w:rsidRPr="002F4D0A">
        <w:rPr>
          <w:rFonts w:ascii="Arial" w:hAnsi="Arial" w:cs="Arial"/>
          <w:color w:val="010000"/>
          <w:sz w:val="20"/>
        </w:rPr>
        <w:t xml:space="preserve">1010/2023/HDDV/DSC-PGB that PGBank signed with DSC on October 10, 2023. </w:t>
      </w:r>
    </w:p>
    <w:p w14:paraId="00000017" w14:textId="64E33E26" w:rsidR="00C028B8" w:rsidRPr="002F4D0A" w:rsidRDefault="007C2830" w:rsidP="007542B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F4D0A">
        <w:rPr>
          <w:rFonts w:ascii="Arial" w:hAnsi="Arial" w:cs="Arial"/>
          <w:color w:val="010000"/>
          <w:sz w:val="20"/>
        </w:rPr>
        <w:t>Article 3: Assign the Board of Director’s office to be the focal point cooperating with DSC and affiliated departments to establish dossiers and implement legal procedures, request for permission of the Plan on the charter capital increase of PGBank in accordance with instructions from the Competent authority to ensure compliance with the provisions of law and PGBank's regulations.</w:t>
      </w:r>
    </w:p>
    <w:p w14:paraId="00000018" w14:textId="45075DA9" w:rsidR="00C028B8" w:rsidRPr="002F4D0A" w:rsidRDefault="007C2830" w:rsidP="007542B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F4D0A">
        <w:rPr>
          <w:rFonts w:ascii="Arial" w:hAnsi="Arial" w:cs="Arial"/>
          <w:color w:val="010000"/>
          <w:sz w:val="20"/>
        </w:rPr>
        <w:t xml:space="preserve">Article 4: Assign the General Manager to direct, and implement </w:t>
      </w:r>
      <w:r w:rsidR="002F4D0A" w:rsidRPr="002F4D0A">
        <w:rPr>
          <w:rFonts w:ascii="Arial" w:hAnsi="Arial" w:cs="Arial"/>
          <w:color w:val="010000"/>
          <w:sz w:val="20"/>
        </w:rPr>
        <w:t xml:space="preserve">the </w:t>
      </w:r>
      <w:r w:rsidRPr="002F4D0A">
        <w:rPr>
          <w:rFonts w:ascii="Arial" w:hAnsi="Arial" w:cs="Arial"/>
          <w:color w:val="010000"/>
          <w:sz w:val="20"/>
        </w:rPr>
        <w:t>establishment of dossiers and complete related procedures after receiving permission for Charter capital increase of PGBank: (I) amend, supplement License, Business Registration Certificate; (ii) Implement and decide other contents related to capital increase such as press release, information disclosure, other appropriate tasks in accordance with the provisions of law and internal regulations of PGBank.</w:t>
      </w:r>
    </w:p>
    <w:p w14:paraId="00000019" w14:textId="70637550" w:rsidR="00C028B8" w:rsidRPr="002F4D0A" w:rsidRDefault="007C2830" w:rsidP="007542B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2F4D0A">
        <w:rPr>
          <w:rFonts w:ascii="Arial" w:hAnsi="Arial" w:cs="Arial"/>
          <w:color w:val="010000"/>
          <w:sz w:val="20"/>
        </w:rPr>
        <w:t>Article 5: This Resolution takes effect from May 28, 2024.</w:t>
      </w:r>
      <w:r w:rsidR="00333870" w:rsidRPr="002F4D0A">
        <w:rPr>
          <w:rFonts w:ascii="Arial" w:hAnsi="Arial" w:cs="Arial"/>
          <w:color w:val="010000"/>
          <w:sz w:val="20"/>
        </w:rPr>
        <w:t xml:space="preserve"> </w:t>
      </w:r>
      <w:r w:rsidRPr="002F4D0A">
        <w:rPr>
          <w:rFonts w:ascii="Arial" w:hAnsi="Arial" w:cs="Arial"/>
          <w:color w:val="010000"/>
          <w:sz w:val="20"/>
        </w:rPr>
        <w:t xml:space="preserve">Members of the Board of Directors, the Executive Board and affiliated units, and individuals of PGBank take responsibility for implementing this Resolution. </w:t>
      </w:r>
    </w:p>
    <w:sectPr w:rsidR="00C028B8" w:rsidRPr="002F4D0A" w:rsidSect="007542B6">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365EA"/>
    <w:multiLevelType w:val="multilevel"/>
    <w:tmpl w:val="DEF276B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7600022"/>
    <w:multiLevelType w:val="multilevel"/>
    <w:tmpl w:val="173CC596"/>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B8"/>
    <w:rsid w:val="002F4D0A"/>
    <w:rsid w:val="00333870"/>
    <w:rsid w:val="006543B6"/>
    <w:rsid w:val="007542B6"/>
    <w:rsid w:val="007A700B"/>
    <w:rsid w:val="007C2830"/>
    <w:rsid w:val="00C0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CEB24"/>
  <w15:docId w15:val="{68B3175E-C055-4C0C-A35E-EC8A2E75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41" w:lineRule="auto"/>
      <w:ind w:firstLine="40"/>
    </w:pPr>
    <w:rPr>
      <w:rFonts w:ascii="Times New Roman" w:eastAsia="Times New Roman" w:hAnsi="Times New Roman" w:cs="Times New Roman"/>
      <w:sz w:val="22"/>
      <w:szCs w:val="22"/>
    </w:rPr>
  </w:style>
  <w:style w:type="paragraph" w:customStyle="1" w:styleId="Bodytext20">
    <w:name w:val="Body text (2)"/>
    <w:basedOn w:val="Normal"/>
    <w:link w:val="Bodytext2"/>
    <w:pPr>
      <w:ind w:firstLine="700"/>
    </w:pPr>
    <w:rPr>
      <w:rFonts w:ascii="Arial" w:eastAsia="Arial" w:hAnsi="Arial" w:cs="Arial"/>
      <w:sz w:val="13"/>
      <w:szCs w:val="13"/>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250" w:lineRule="auto"/>
      <w:ind w:firstLine="280"/>
      <w:outlineLvl w:val="1"/>
    </w:pPr>
    <w:rPr>
      <w:rFonts w:ascii="Times New Roman" w:eastAsia="Times New Roman" w:hAnsi="Times New Roman" w:cs="Times New Roman"/>
      <w:b/>
      <w:bCs/>
      <w:sz w:val="22"/>
      <w:szCs w:val="22"/>
    </w:rPr>
  </w:style>
  <w:style w:type="paragraph" w:customStyle="1" w:styleId="Bodytext30">
    <w:name w:val="Body text (3)"/>
    <w:basedOn w:val="Normal"/>
    <w:link w:val="Bodytext3"/>
    <w:pPr>
      <w:jc w:val="right"/>
    </w:pPr>
    <w:rPr>
      <w:rFonts w:ascii="Arial" w:eastAsia="Arial" w:hAnsi="Arial" w:cs="Arial"/>
      <w:sz w:val="20"/>
      <w:szCs w:val="20"/>
    </w:rPr>
  </w:style>
  <w:style w:type="paragraph" w:styleId="NormalWeb">
    <w:name w:val="Normal (Web)"/>
    <w:basedOn w:val="Normal"/>
    <w:uiPriority w:val="99"/>
    <w:semiHidden/>
    <w:unhideWhenUsed/>
    <w:rsid w:val="003D73FA"/>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9Waj3XzBCELOwf5+iJQu9nNPjw==">CgMxLjA4AHIhMXR3bWhqX2JLMTlaTjhuREhyTzB3Tkw2cmw3MEQ4X0lu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2024-05-31T03:55:00Z</dcterms:created>
  <dcterms:modified xsi:type="dcterms:W3CDTF">2024-05-31T03:55:00Z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c5a0efbfe27b7f7b0fc12d7d4c14f2921c7a2523e37ac8b5039bdb679106f23b</vt:lpwstr>
  </property>
</Properties>
</file>