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7832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626585">
        <w:rPr>
          <w:rFonts w:ascii="Arial" w:hAnsi="Arial" w:cs="Arial"/>
          <w:b/>
          <w:color w:val="010000"/>
          <w:sz w:val="20"/>
        </w:rPr>
        <w:t>VMK: Annual General Mandate 2024</w:t>
      </w:r>
    </w:p>
    <w:p w14:paraId="0F0F4EC8" w14:textId="4710E925"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On May 26, 2024, Vimarko Joint Stock Company announced General Mandate No.</w:t>
      </w:r>
      <w:r w:rsidR="004A4CFC" w:rsidRPr="00626585">
        <w:rPr>
          <w:rFonts w:ascii="Arial" w:hAnsi="Arial" w:cs="Arial"/>
          <w:color w:val="010000"/>
          <w:sz w:val="20"/>
        </w:rPr>
        <w:t xml:space="preserve"> </w:t>
      </w:r>
      <w:r w:rsidRPr="00626585">
        <w:rPr>
          <w:rFonts w:ascii="Arial" w:hAnsi="Arial" w:cs="Arial"/>
          <w:color w:val="010000"/>
          <w:sz w:val="20"/>
        </w:rPr>
        <w:t>01/2024/NQ-DHDCD-VMK as follows:</w:t>
      </w:r>
    </w:p>
    <w:p w14:paraId="594DF970" w14:textId="305C16AF" w:rsidR="00871B4B" w:rsidRPr="00626585" w:rsidRDefault="00293999" w:rsidP="00293999">
      <w:pPr>
        <w:pBdr>
          <w:top w:val="nil"/>
          <w:left w:val="nil"/>
          <w:bottom w:val="nil"/>
          <w:right w:val="nil"/>
          <w:between w:val="nil"/>
        </w:pBdr>
        <w:tabs>
          <w:tab w:val="left" w:pos="432"/>
          <w:tab w:val="left" w:pos="9086"/>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Article 1: Approve the Report on activities of the Board of Directors in 2023, and </w:t>
      </w:r>
      <w:r w:rsidR="005722AB" w:rsidRPr="00626585">
        <w:rPr>
          <w:rFonts w:ascii="Arial" w:hAnsi="Arial" w:cs="Arial"/>
          <w:color w:val="010000"/>
          <w:sz w:val="20"/>
        </w:rPr>
        <w:t xml:space="preserve">the </w:t>
      </w:r>
      <w:r w:rsidRPr="00626585">
        <w:rPr>
          <w:rFonts w:ascii="Arial" w:hAnsi="Arial" w:cs="Arial"/>
          <w:color w:val="010000"/>
          <w:sz w:val="20"/>
        </w:rPr>
        <w:t xml:space="preserve">Operational plan for 2024. </w:t>
      </w:r>
    </w:p>
    <w:p w14:paraId="1F67330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2: Approve the Report of the Board of Directors on the production and business results in 2023.</w:t>
      </w:r>
    </w:p>
    <w:p w14:paraId="551D5840" w14:textId="57DF0F2A"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Unit</w:t>
      </w:r>
      <w:r w:rsidR="005722AB" w:rsidRPr="00626585">
        <w:rPr>
          <w:rFonts w:ascii="Arial" w:hAnsi="Arial" w:cs="Arial"/>
          <w:color w:val="010000"/>
          <w:sz w:val="20"/>
        </w:rPr>
        <w:t>:</w:t>
      </w:r>
      <w:r w:rsidRPr="00626585">
        <w:rPr>
          <w:rFonts w:ascii="Arial" w:hAnsi="Arial" w:cs="Arial"/>
          <w:color w:val="010000"/>
          <w:sz w:val="20"/>
        </w:rPr>
        <w:t xml:space="preserve">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07"/>
        <w:gridCol w:w="1713"/>
        <w:gridCol w:w="1888"/>
        <w:gridCol w:w="1609"/>
      </w:tblGrid>
      <w:tr w:rsidR="00871B4B" w:rsidRPr="00626585" w14:paraId="3FEA3CDB" w14:textId="77777777" w:rsidTr="00293999">
        <w:tc>
          <w:tcPr>
            <w:tcW w:w="2111" w:type="pct"/>
            <w:shd w:val="clear" w:color="auto" w:fill="auto"/>
            <w:tcMar>
              <w:top w:w="0" w:type="dxa"/>
              <w:bottom w:w="0" w:type="dxa"/>
            </w:tcMar>
            <w:vAlign w:val="center"/>
          </w:tcPr>
          <w:p w14:paraId="61CF7EB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Content</w:t>
            </w:r>
          </w:p>
        </w:tc>
        <w:tc>
          <w:tcPr>
            <w:tcW w:w="950" w:type="pct"/>
            <w:shd w:val="clear" w:color="auto" w:fill="auto"/>
            <w:tcMar>
              <w:top w:w="0" w:type="dxa"/>
              <w:bottom w:w="0" w:type="dxa"/>
            </w:tcMar>
            <w:vAlign w:val="center"/>
          </w:tcPr>
          <w:p w14:paraId="703E23A6" w14:textId="2111A375"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In 2022</w:t>
            </w:r>
          </w:p>
        </w:tc>
        <w:tc>
          <w:tcPr>
            <w:tcW w:w="1047" w:type="pct"/>
            <w:shd w:val="clear" w:color="auto" w:fill="auto"/>
            <w:tcMar>
              <w:top w:w="0" w:type="dxa"/>
              <w:bottom w:w="0" w:type="dxa"/>
            </w:tcMar>
            <w:vAlign w:val="center"/>
          </w:tcPr>
          <w:p w14:paraId="1AEA9556" w14:textId="351FD3EB"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In 2023</w:t>
            </w:r>
          </w:p>
        </w:tc>
        <w:tc>
          <w:tcPr>
            <w:tcW w:w="892" w:type="pct"/>
            <w:shd w:val="clear" w:color="auto" w:fill="auto"/>
            <w:tcMar>
              <w:top w:w="0" w:type="dxa"/>
              <w:bottom w:w="0" w:type="dxa"/>
            </w:tcMar>
            <w:vAlign w:val="center"/>
          </w:tcPr>
          <w:p w14:paraId="346FCBCD"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Growth 2023/2022 (%)</w:t>
            </w:r>
          </w:p>
        </w:tc>
      </w:tr>
      <w:tr w:rsidR="00871B4B" w:rsidRPr="00626585" w14:paraId="7C52A29B" w14:textId="77777777" w:rsidTr="00293999">
        <w:tc>
          <w:tcPr>
            <w:tcW w:w="2111" w:type="pct"/>
            <w:shd w:val="clear" w:color="auto" w:fill="auto"/>
            <w:tcMar>
              <w:top w:w="0" w:type="dxa"/>
              <w:bottom w:w="0" w:type="dxa"/>
            </w:tcMar>
            <w:vAlign w:val="center"/>
          </w:tcPr>
          <w:p w14:paraId="182D7F0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Total assets</w:t>
            </w:r>
          </w:p>
        </w:tc>
        <w:tc>
          <w:tcPr>
            <w:tcW w:w="950" w:type="pct"/>
            <w:shd w:val="clear" w:color="auto" w:fill="auto"/>
            <w:tcMar>
              <w:top w:w="0" w:type="dxa"/>
              <w:bottom w:w="0" w:type="dxa"/>
            </w:tcMar>
            <w:vAlign w:val="center"/>
          </w:tcPr>
          <w:p w14:paraId="246F888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78,905,883,097</w:t>
            </w:r>
          </w:p>
        </w:tc>
        <w:tc>
          <w:tcPr>
            <w:tcW w:w="1047" w:type="pct"/>
            <w:shd w:val="clear" w:color="auto" w:fill="auto"/>
            <w:tcMar>
              <w:top w:w="0" w:type="dxa"/>
              <w:bottom w:w="0" w:type="dxa"/>
            </w:tcMar>
            <w:vAlign w:val="center"/>
          </w:tcPr>
          <w:p w14:paraId="65D5CAC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77,638,952,254</w:t>
            </w:r>
          </w:p>
        </w:tc>
        <w:tc>
          <w:tcPr>
            <w:tcW w:w="892" w:type="pct"/>
            <w:shd w:val="clear" w:color="auto" w:fill="auto"/>
            <w:tcMar>
              <w:top w:w="0" w:type="dxa"/>
              <w:bottom w:w="0" w:type="dxa"/>
            </w:tcMar>
            <w:vAlign w:val="center"/>
          </w:tcPr>
          <w:p w14:paraId="55D2354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-1.61</w:t>
            </w:r>
          </w:p>
        </w:tc>
      </w:tr>
      <w:tr w:rsidR="00871B4B" w:rsidRPr="00626585" w14:paraId="28ABA9F9" w14:textId="77777777" w:rsidTr="00293999">
        <w:tc>
          <w:tcPr>
            <w:tcW w:w="2111" w:type="pct"/>
            <w:shd w:val="clear" w:color="auto" w:fill="auto"/>
            <w:tcMar>
              <w:top w:w="0" w:type="dxa"/>
              <w:bottom w:w="0" w:type="dxa"/>
            </w:tcMar>
            <w:vAlign w:val="center"/>
          </w:tcPr>
          <w:p w14:paraId="09350EE5"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Owners’ equity</w:t>
            </w:r>
          </w:p>
        </w:tc>
        <w:tc>
          <w:tcPr>
            <w:tcW w:w="950" w:type="pct"/>
            <w:shd w:val="clear" w:color="auto" w:fill="auto"/>
            <w:tcMar>
              <w:top w:w="0" w:type="dxa"/>
              <w:bottom w:w="0" w:type="dxa"/>
            </w:tcMar>
            <w:vAlign w:val="center"/>
          </w:tcPr>
          <w:p w14:paraId="538920F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38,981,694,974</w:t>
            </w:r>
          </w:p>
        </w:tc>
        <w:tc>
          <w:tcPr>
            <w:tcW w:w="1047" w:type="pct"/>
            <w:shd w:val="clear" w:color="auto" w:fill="auto"/>
            <w:tcMar>
              <w:top w:w="0" w:type="dxa"/>
              <w:bottom w:w="0" w:type="dxa"/>
            </w:tcMar>
            <w:vAlign w:val="center"/>
          </w:tcPr>
          <w:p w14:paraId="4EC258E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42,700,548,921</w:t>
            </w:r>
          </w:p>
        </w:tc>
        <w:tc>
          <w:tcPr>
            <w:tcW w:w="892" w:type="pct"/>
            <w:shd w:val="clear" w:color="auto" w:fill="auto"/>
            <w:tcMar>
              <w:top w:w="0" w:type="dxa"/>
              <w:bottom w:w="0" w:type="dxa"/>
            </w:tcMar>
            <w:vAlign w:val="center"/>
          </w:tcPr>
          <w:p w14:paraId="10DA7AF4" w14:textId="3CB8851D"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9.54</w:t>
            </w:r>
          </w:p>
        </w:tc>
      </w:tr>
      <w:tr w:rsidR="00871B4B" w:rsidRPr="00626585" w14:paraId="1EB338FD" w14:textId="77777777" w:rsidTr="00293999">
        <w:tc>
          <w:tcPr>
            <w:tcW w:w="2111" w:type="pct"/>
            <w:shd w:val="clear" w:color="auto" w:fill="auto"/>
            <w:tcMar>
              <w:top w:w="0" w:type="dxa"/>
              <w:bottom w:w="0" w:type="dxa"/>
            </w:tcMar>
            <w:vAlign w:val="center"/>
          </w:tcPr>
          <w:p w14:paraId="5CA48C4C" w14:textId="3737B19B"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Net revenue from goods s</w:t>
            </w:r>
            <w:r w:rsidR="00CB27B6" w:rsidRPr="00626585">
              <w:rPr>
                <w:rFonts w:ascii="Arial" w:hAnsi="Arial" w:cs="Arial"/>
                <w:color w:val="010000"/>
                <w:sz w:val="20"/>
              </w:rPr>
              <w:t>old</w:t>
            </w:r>
            <w:r w:rsidRPr="00626585">
              <w:rPr>
                <w:rFonts w:ascii="Arial" w:hAnsi="Arial" w:cs="Arial"/>
                <w:color w:val="010000"/>
                <w:sz w:val="20"/>
              </w:rPr>
              <w:t xml:space="preserve"> and service provision</w:t>
            </w:r>
          </w:p>
        </w:tc>
        <w:tc>
          <w:tcPr>
            <w:tcW w:w="950" w:type="pct"/>
            <w:shd w:val="clear" w:color="auto" w:fill="auto"/>
            <w:tcMar>
              <w:top w:w="0" w:type="dxa"/>
              <w:bottom w:w="0" w:type="dxa"/>
            </w:tcMar>
            <w:vAlign w:val="center"/>
          </w:tcPr>
          <w:p w14:paraId="2FA72D75"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32,700,276,439</w:t>
            </w:r>
          </w:p>
        </w:tc>
        <w:tc>
          <w:tcPr>
            <w:tcW w:w="1047" w:type="pct"/>
            <w:shd w:val="clear" w:color="auto" w:fill="auto"/>
            <w:tcMar>
              <w:top w:w="0" w:type="dxa"/>
              <w:bottom w:w="0" w:type="dxa"/>
            </w:tcMar>
            <w:vAlign w:val="center"/>
          </w:tcPr>
          <w:p w14:paraId="3B879FE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45,687,586,860</w:t>
            </w:r>
          </w:p>
        </w:tc>
        <w:tc>
          <w:tcPr>
            <w:tcW w:w="892" w:type="pct"/>
            <w:shd w:val="clear" w:color="auto" w:fill="auto"/>
            <w:tcMar>
              <w:top w:w="0" w:type="dxa"/>
              <w:bottom w:w="0" w:type="dxa"/>
            </w:tcMar>
            <w:vAlign w:val="center"/>
          </w:tcPr>
          <w:p w14:paraId="5D0EDFF9"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39.72</w:t>
            </w:r>
          </w:p>
        </w:tc>
      </w:tr>
      <w:tr w:rsidR="00871B4B" w:rsidRPr="00626585" w14:paraId="127979C6" w14:textId="77777777" w:rsidTr="00293999">
        <w:tc>
          <w:tcPr>
            <w:tcW w:w="2111" w:type="pct"/>
            <w:shd w:val="clear" w:color="auto" w:fill="auto"/>
            <w:tcMar>
              <w:top w:w="0" w:type="dxa"/>
              <w:bottom w:w="0" w:type="dxa"/>
            </w:tcMar>
            <w:vAlign w:val="center"/>
          </w:tcPr>
          <w:p w14:paraId="5C9DFA1B" w14:textId="198AE0F1"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Gross profit from goods s</w:t>
            </w:r>
            <w:r w:rsidR="00CB27B6" w:rsidRPr="00626585">
              <w:rPr>
                <w:rFonts w:ascii="Arial" w:hAnsi="Arial" w:cs="Arial"/>
                <w:color w:val="010000"/>
                <w:sz w:val="20"/>
              </w:rPr>
              <w:t>old</w:t>
            </w:r>
            <w:r w:rsidRPr="00626585">
              <w:rPr>
                <w:rFonts w:ascii="Arial" w:hAnsi="Arial" w:cs="Arial"/>
                <w:color w:val="010000"/>
                <w:sz w:val="20"/>
              </w:rPr>
              <w:t xml:space="preserve"> and service provision</w:t>
            </w:r>
          </w:p>
        </w:tc>
        <w:tc>
          <w:tcPr>
            <w:tcW w:w="950" w:type="pct"/>
            <w:shd w:val="clear" w:color="auto" w:fill="auto"/>
            <w:tcMar>
              <w:top w:w="0" w:type="dxa"/>
              <w:bottom w:w="0" w:type="dxa"/>
            </w:tcMar>
            <w:vAlign w:val="center"/>
          </w:tcPr>
          <w:p w14:paraId="3390C07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6,707,313,153</w:t>
            </w:r>
          </w:p>
        </w:tc>
        <w:tc>
          <w:tcPr>
            <w:tcW w:w="1047" w:type="pct"/>
            <w:shd w:val="clear" w:color="auto" w:fill="auto"/>
            <w:tcMar>
              <w:top w:w="0" w:type="dxa"/>
              <w:bottom w:w="0" w:type="dxa"/>
            </w:tcMar>
            <w:vAlign w:val="center"/>
          </w:tcPr>
          <w:p w14:paraId="53355DB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7,293,250,074</w:t>
            </w:r>
          </w:p>
        </w:tc>
        <w:tc>
          <w:tcPr>
            <w:tcW w:w="892" w:type="pct"/>
            <w:shd w:val="clear" w:color="auto" w:fill="auto"/>
            <w:tcMar>
              <w:top w:w="0" w:type="dxa"/>
              <w:bottom w:w="0" w:type="dxa"/>
            </w:tcMar>
            <w:vAlign w:val="center"/>
          </w:tcPr>
          <w:p w14:paraId="41591B4F"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8.74</w:t>
            </w:r>
          </w:p>
        </w:tc>
      </w:tr>
      <w:tr w:rsidR="00871B4B" w:rsidRPr="00626585" w14:paraId="248A3FF8" w14:textId="77777777" w:rsidTr="00293999">
        <w:tc>
          <w:tcPr>
            <w:tcW w:w="2111" w:type="pct"/>
            <w:shd w:val="clear" w:color="auto" w:fill="auto"/>
            <w:tcMar>
              <w:top w:w="0" w:type="dxa"/>
              <w:bottom w:w="0" w:type="dxa"/>
            </w:tcMar>
            <w:vAlign w:val="center"/>
          </w:tcPr>
          <w:p w14:paraId="59414CC3"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before tax</w:t>
            </w:r>
          </w:p>
        </w:tc>
        <w:tc>
          <w:tcPr>
            <w:tcW w:w="950" w:type="pct"/>
            <w:shd w:val="clear" w:color="auto" w:fill="auto"/>
            <w:tcMar>
              <w:top w:w="0" w:type="dxa"/>
              <w:bottom w:w="0" w:type="dxa"/>
            </w:tcMar>
            <w:vAlign w:val="center"/>
          </w:tcPr>
          <w:p w14:paraId="392AB8A5"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2,889,766,176</w:t>
            </w:r>
          </w:p>
        </w:tc>
        <w:tc>
          <w:tcPr>
            <w:tcW w:w="1047" w:type="pct"/>
            <w:shd w:val="clear" w:color="auto" w:fill="auto"/>
            <w:tcMar>
              <w:top w:w="0" w:type="dxa"/>
              <w:bottom w:w="0" w:type="dxa"/>
            </w:tcMar>
            <w:vAlign w:val="center"/>
          </w:tcPr>
          <w:p w14:paraId="36FA69AF"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3,722,286,035</w:t>
            </w:r>
          </w:p>
        </w:tc>
        <w:tc>
          <w:tcPr>
            <w:tcW w:w="892" w:type="pct"/>
            <w:shd w:val="clear" w:color="auto" w:fill="auto"/>
            <w:tcMar>
              <w:top w:w="0" w:type="dxa"/>
              <w:bottom w:w="0" w:type="dxa"/>
            </w:tcMar>
            <w:vAlign w:val="center"/>
          </w:tcPr>
          <w:p w14:paraId="3FB52CF3"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28.81</w:t>
            </w:r>
          </w:p>
        </w:tc>
      </w:tr>
      <w:tr w:rsidR="00871B4B" w:rsidRPr="00626585" w14:paraId="5A06D2F7" w14:textId="77777777" w:rsidTr="00293999">
        <w:tc>
          <w:tcPr>
            <w:tcW w:w="2111" w:type="pct"/>
            <w:shd w:val="clear" w:color="auto" w:fill="auto"/>
            <w:tcMar>
              <w:top w:w="0" w:type="dxa"/>
              <w:bottom w:w="0" w:type="dxa"/>
            </w:tcMar>
            <w:vAlign w:val="center"/>
          </w:tcPr>
          <w:p w14:paraId="66C4D0D4"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after tax</w:t>
            </w:r>
          </w:p>
        </w:tc>
        <w:tc>
          <w:tcPr>
            <w:tcW w:w="950" w:type="pct"/>
            <w:shd w:val="clear" w:color="auto" w:fill="auto"/>
            <w:tcMar>
              <w:top w:w="0" w:type="dxa"/>
              <w:bottom w:w="0" w:type="dxa"/>
            </w:tcMar>
            <w:vAlign w:val="center"/>
          </w:tcPr>
          <w:p w14:paraId="278C36A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2,889,766,176</w:t>
            </w:r>
          </w:p>
        </w:tc>
        <w:tc>
          <w:tcPr>
            <w:tcW w:w="1047" w:type="pct"/>
            <w:shd w:val="clear" w:color="auto" w:fill="auto"/>
            <w:tcMar>
              <w:top w:w="0" w:type="dxa"/>
              <w:bottom w:w="0" w:type="dxa"/>
            </w:tcMar>
            <w:vAlign w:val="center"/>
          </w:tcPr>
          <w:p w14:paraId="49194BC8"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3,718,853,947</w:t>
            </w:r>
          </w:p>
        </w:tc>
        <w:tc>
          <w:tcPr>
            <w:tcW w:w="892" w:type="pct"/>
            <w:shd w:val="clear" w:color="auto" w:fill="auto"/>
            <w:tcMar>
              <w:top w:w="0" w:type="dxa"/>
              <w:bottom w:w="0" w:type="dxa"/>
            </w:tcMar>
            <w:vAlign w:val="center"/>
          </w:tcPr>
          <w:p w14:paraId="6A7D0A73"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28.69</w:t>
            </w:r>
          </w:p>
        </w:tc>
      </w:tr>
    </w:tbl>
    <w:p w14:paraId="52D82ADE" w14:textId="46A06392"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3: Approve the Report on activities of the Supervisory Board 2023</w:t>
      </w:r>
    </w:p>
    <w:p w14:paraId="49F15805" w14:textId="68F513EF"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Article 4: Approve </w:t>
      </w:r>
      <w:r w:rsidR="00F27320" w:rsidRPr="00626585">
        <w:rPr>
          <w:rFonts w:ascii="Arial" w:hAnsi="Arial" w:cs="Arial"/>
          <w:color w:val="010000"/>
          <w:sz w:val="20"/>
        </w:rPr>
        <w:t xml:space="preserve">the </w:t>
      </w:r>
      <w:r w:rsidRPr="00626585">
        <w:rPr>
          <w:rFonts w:ascii="Arial" w:hAnsi="Arial" w:cs="Arial"/>
          <w:color w:val="010000"/>
          <w:sz w:val="20"/>
        </w:rPr>
        <w:t>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9"/>
        <w:gridCol w:w="4198"/>
      </w:tblGrid>
      <w:tr w:rsidR="00871B4B" w:rsidRPr="00626585" w14:paraId="499D5F21" w14:textId="77777777" w:rsidTr="00293999">
        <w:tc>
          <w:tcPr>
            <w:tcW w:w="2672" w:type="pct"/>
            <w:shd w:val="clear" w:color="auto" w:fill="auto"/>
            <w:tcMar>
              <w:top w:w="0" w:type="dxa"/>
              <w:bottom w:w="0" w:type="dxa"/>
            </w:tcMar>
            <w:vAlign w:val="center"/>
          </w:tcPr>
          <w:p w14:paraId="4ACA9BB2"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Targets</w:t>
            </w:r>
          </w:p>
        </w:tc>
        <w:tc>
          <w:tcPr>
            <w:tcW w:w="2328" w:type="pct"/>
            <w:shd w:val="clear" w:color="auto" w:fill="auto"/>
            <w:tcMar>
              <w:top w:w="0" w:type="dxa"/>
              <w:bottom w:w="0" w:type="dxa"/>
            </w:tcMar>
            <w:vAlign w:val="center"/>
          </w:tcPr>
          <w:p w14:paraId="59C3DA5F"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Value</w:t>
            </w:r>
          </w:p>
        </w:tc>
      </w:tr>
      <w:tr w:rsidR="00871B4B" w:rsidRPr="00626585" w14:paraId="6B9332FF" w14:textId="77777777" w:rsidTr="00293999">
        <w:tc>
          <w:tcPr>
            <w:tcW w:w="2672" w:type="pct"/>
            <w:shd w:val="clear" w:color="auto" w:fill="auto"/>
            <w:tcMar>
              <w:top w:w="0" w:type="dxa"/>
              <w:bottom w:w="0" w:type="dxa"/>
            </w:tcMar>
            <w:vAlign w:val="center"/>
          </w:tcPr>
          <w:p w14:paraId="35574F0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Charter capital (VND)</w:t>
            </w:r>
          </w:p>
        </w:tc>
        <w:tc>
          <w:tcPr>
            <w:tcW w:w="2328" w:type="pct"/>
            <w:shd w:val="clear" w:color="auto" w:fill="auto"/>
            <w:tcMar>
              <w:top w:w="0" w:type="dxa"/>
              <w:bottom w:w="0" w:type="dxa"/>
            </w:tcMar>
            <w:vAlign w:val="center"/>
          </w:tcPr>
          <w:p w14:paraId="71808C4C"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73,500,000,000</w:t>
            </w:r>
          </w:p>
        </w:tc>
      </w:tr>
      <w:tr w:rsidR="00871B4B" w:rsidRPr="00626585" w14:paraId="1E6147DD" w14:textId="77777777" w:rsidTr="00293999">
        <w:tc>
          <w:tcPr>
            <w:tcW w:w="2672" w:type="pct"/>
            <w:shd w:val="clear" w:color="auto" w:fill="auto"/>
            <w:tcMar>
              <w:top w:w="0" w:type="dxa"/>
              <w:bottom w:w="0" w:type="dxa"/>
            </w:tcMar>
            <w:vAlign w:val="center"/>
          </w:tcPr>
          <w:p w14:paraId="0918565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Net revenue (VND)</w:t>
            </w:r>
          </w:p>
        </w:tc>
        <w:tc>
          <w:tcPr>
            <w:tcW w:w="2328" w:type="pct"/>
            <w:shd w:val="clear" w:color="auto" w:fill="auto"/>
            <w:tcMar>
              <w:top w:w="0" w:type="dxa"/>
              <w:bottom w:w="0" w:type="dxa"/>
            </w:tcMar>
            <w:vAlign w:val="center"/>
          </w:tcPr>
          <w:p w14:paraId="05B57BF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50,500,000,000</w:t>
            </w:r>
          </w:p>
        </w:tc>
      </w:tr>
      <w:tr w:rsidR="00871B4B" w:rsidRPr="00626585" w14:paraId="07E1C085" w14:textId="77777777" w:rsidTr="00293999">
        <w:tc>
          <w:tcPr>
            <w:tcW w:w="2672" w:type="pct"/>
            <w:shd w:val="clear" w:color="auto" w:fill="auto"/>
            <w:tcMar>
              <w:top w:w="0" w:type="dxa"/>
              <w:bottom w:w="0" w:type="dxa"/>
            </w:tcMar>
            <w:vAlign w:val="center"/>
          </w:tcPr>
          <w:p w14:paraId="150EA54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after tax (VND)</w:t>
            </w:r>
          </w:p>
        </w:tc>
        <w:tc>
          <w:tcPr>
            <w:tcW w:w="2328" w:type="pct"/>
            <w:shd w:val="clear" w:color="auto" w:fill="auto"/>
            <w:tcMar>
              <w:top w:w="0" w:type="dxa"/>
              <w:bottom w:w="0" w:type="dxa"/>
            </w:tcMar>
            <w:vAlign w:val="center"/>
          </w:tcPr>
          <w:p w14:paraId="6DE867C4"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4,200,000,000</w:t>
            </w:r>
          </w:p>
        </w:tc>
      </w:tr>
      <w:tr w:rsidR="00871B4B" w:rsidRPr="00626585" w14:paraId="525C7EE8" w14:textId="77777777" w:rsidTr="00293999">
        <w:tc>
          <w:tcPr>
            <w:tcW w:w="2672" w:type="pct"/>
            <w:shd w:val="clear" w:color="auto" w:fill="auto"/>
            <w:tcMar>
              <w:top w:w="0" w:type="dxa"/>
              <w:bottom w:w="0" w:type="dxa"/>
            </w:tcMar>
            <w:vAlign w:val="center"/>
          </w:tcPr>
          <w:p w14:paraId="7AA35A99"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after tax/Net revenue rate</w:t>
            </w:r>
          </w:p>
        </w:tc>
        <w:tc>
          <w:tcPr>
            <w:tcW w:w="2328" w:type="pct"/>
            <w:shd w:val="clear" w:color="auto" w:fill="auto"/>
            <w:tcMar>
              <w:top w:w="0" w:type="dxa"/>
              <w:bottom w:w="0" w:type="dxa"/>
            </w:tcMar>
            <w:vAlign w:val="center"/>
          </w:tcPr>
          <w:p w14:paraId="67D786D5"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8.32%</w:t>
            </w:r>
          </w:p>
        </w:tc>
      </w:tr>
      <w:tr w:rsidR="00871B4B" w:rsidRPr="00626585" w14:paraId="45A81B53" w14:textId="77777777" w:rsidTr="00293999">
        <w:tc>
          <w:tcPr>
            <w:tcW w:w="2672" w:type="pct"/>
            <w:shd w:val="clear" w:color="auto" w:fill="auto"/>
            <w:tcMar>
              <w:top w:w="0" w:type="dxa"/>
              <w:bottom w:w="0" w:type="dxa"/>
            </w:tcMar>
            <w:vAlign w:val="center"/>
          </w:tcPr>
          <w:p w14:paraId="417D68D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after tax/Charter capital rate</w:t>
            </w:r>
          </w:p>
        </w:tc>
        <w:tc>
          <w:tcPr>
            <w:tcW w:w="2328" w:type="pct"/>
            <w:shd w:val="clear" w:color="auto" w:fill="auto"/>
            <w:tcMar>
              <w:top w:w="0" w:type="dxa"/>
              <w:bottom w:w="0" w:type="dxa"/>
            </w:tcMar>
            <w:vAlign w:val="center"/>
          </w:tcPr>
          <w:p w14:paraId="032BE2C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5.71%</w:t>
            </w:r>
          </w:p>
        </w:tc>
      </w:tr>
      <w:tr w:rsidR="00871B4B" w:rsidRPr="00626585" w14:paraId="54A7591B" w14:textId="77777777" w:rsidTr="00293999">
        <w:tc>
          <w:tcPr>
            <w:tcW w:w="2672" w:type="pct"/>
            <w:shd w:val="clear" w:color="auto" w:fill="auto"/>
            <w:tcMar>
              <w:top w:w="0" w:type="dxa"/>
              <w:bottom w:w="0" w:type="dxa"/>
            </w:tcMar>
            <w:vAlign w:val="center"/>
          </w:tcPr>
          <w:p w14:paraId="5D2D24F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Dividend payment rate</w:t>
            </w:r>
          </w:p>
        </w:tc>
        <w:tc>
          <w:tcPr>
            <w:tcW w:w="2328" w:type="pct"/>
            <w:shd w:val="clear" w:color="auto" w:fill="auto"/>
            <w:tcMar>
              <w:top w:w="0" w:type="dxa"/>
              <w:bottom w:w="0" w:type="dxa"/>
            </w:tcMar>
            <w:vAlign w:val="center"/>
          </w:tcPr>
          <w:p w14:paraId="27F09C42"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6%</w:t>
            </w:r>
          </w:p>
        </w:tc>
      </w:tr>
    </w:tbl>
    <w:p w14:paraId="33124570" w14:textId="1D0AB914"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5: Approve the Audited Financial Statements 2023 audited by UHY Auditing and Consulting Company Limited.</w:t>
      </w:r>
    </w:p>
    <w:p w14:paraId="5EFEB15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6: Approve the plan on profit distribution and appropriation for funds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5901"/>
        <w:gridCol w:w="2429"/>
      </w:tblGrid>
      <w:tr w:rsidR="00871B4B" w:rsidRPr="00626585" w14:paraId="44A7CB36" w14:textId="77777777" w:rsidTr="00293999">
        <w:tc>
          <w:tcPr>
            <w:tcW w:w="381" w:type="pct"/>
            <w:shd w:val="clear" w:color="auto" w:fill="auto"/>
            <w:tcMar>
              <w:top w:w="0" w:type="dxa"/>
              <w:bottom w:w="0" w:type="dxa"/>
            </w:tcMar>
            <w:vAlign w:val="center"/>
          </w:tcPr>
          <w:p w14:paraId="6BE6B77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No.</w:t>
            </w:r>
          </w:p>
        </w:tc>
        <w:tc>
          <w:tcPr>
            <w:tcW w:w="3272" w:type="pct"/>
            <w:shd w:val="clear" w:color="auto" w:fill="auto"/>
            <w:tcMar>
              <w:top w:w="0" w:type="dxa"/>
              <w:bottom w:w="0" w:type="dxa"/>
            </w:tcMar>
            <w:vAlign w:val="center"/>
          </w:tcPr>
          <w:p w14:paraId="0D192E0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Targets</w:t>
            </w:r>
          </w:p>
        </w:tc>
        <w:tc>
          <w:tcPr>
            <w:tcW w:w="1347" w:type="pct"/>
            <w:shd w:val="clear" w:color="auto" w:fill="auto"/>
            <w:tcMar>
              <w:top w:w="0" w:type="dxa"/>
              <w:bottom w:w="0" w:type="dxa"/>
            </w:tcMar>
            <w:vAlign w:val="center"/>
          </w:tcPr>
          <w:p w14:paraId="1A081F5C"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Amount (VND)</w:t>
            </w:r>
          </w:p>
        </w:tc>
      </w:tr>
      <w:tr w:rsidR="00871B4B" w:rsidRPr="00626585" w14:paraId="141C8C31" w14:textId="77777777" w:rsidTr="00293999">
        <w:tc>
          <w:tcPr>
            <w:tcW w:w="381" w:type="pct"/>
            <w:shd w:val="clear" w:color="auto" w:fill="auto"/>
            <w:tcMar>
              <w:top w:w="0" w:type="dxa"/>
              <w:bottom w:w="0" w:type="dxa"/>
            </w:tcMar>
            <w:vAlign w:val="center"/>
          </w:tcPr>
          <w:p w14:paraId="742BB8B2"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lastRenderedPageBreak/>
              <w:t xml:space="preserve">1. </w:t>
            </w:r>
          </w:p>
        </w:tc>
        <w:tc>
          <w:tcPr>
            <w:tcW w:w="3272" w:type="pct"/>
            <w:shd w:val="clear" w:color="auto" w:fill="auto"/>
            <w:tcMar>
              <w:top w:w="0" w:type="dxa"/>
              <w:bottom w:w="0" w:type="dxa"/>
            </w:tcMar>
            <w:vAlign w:val="center"/>
          </w:tcPr>
          <w:p w14:paraId="4C597BF3"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after tax in 2023</w:t>
            </w:r>
          </w:p>
        </w:tc>
        <w:tc>
          <w:tcPr>
            <w:tcW w:w="1347" w:type="pct"/>
            <w:shd w:val="clear" w:color="auto" w:fill="auto"/>
            <w:tcMar>
              <w:top w:w="0" w:type="dxa"/>
              <w:bottom w:w="0" w:type="dxa"/>
            </w:tcMar>
            <w:vAlign w:val="center"/>
          </w:tcPr>
          <w:p w14:paraId="1FF4F9B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3,718,853,947</w:t>
            </w:r>
          </w:p>
        </w:tc>
      </w:tr>
      <w:tr w:rsidR="00871B4B" w:rsidRPr="00626585" w14:paraId="15360F8C" w14:textId="77777777" w:rsidTr="00293999">
        <w:tc>
          <w:tcPr>
            <w:tcW w:w="381" w:type="pct"/>
            <w:shd w:val="clear" w:color="auto" w:fill="auto"/>
            <w:tcMar>
              <w:top w:w="0" w:type="dxa"/>
              <w:bottom w:w="0" w:type="dxa"/>
            </w:tcMar>
            <w:vAlign w:val="center"/>
          </w:tcPr>
          <w:p w14:paraId="263AFBCF" w14:textId="32D15E1F"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2.</w:t>
            </w:r>
          </w:p>
        </w:tc>
        <w:tc>
          <w:tcPr>
            <w:tcW w:w="3272" w:type="pct"/>
            <w:shd w:val="clear" w:color="auto" w:fill="auto"/>
            <w:tcMar>
              <w:top w:w="0" w:type="dxa"/>
              <w:bottom w:w="0" w:type="dxa"/>
            </w:tcMar>
            <w:vAlign w:val="center"/>
          </w:tcPr>
          <w:p w14:paraId="3FDAFD08"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Appropriation for funds</w:t>
            </w:r>
          </w:p>
        </w:tc>
        <w:tc>
          <w:tcPr>
            <w:tcW w:w="1347" w:type="pct"/>
            <w:shd w:val="clear" w:color="auto" w:fill="auto"/>
            <w:tcMar>
              <w:top w:w="0" w:type="dxa"/>
              <w:bottom w:w="0" w:type="dxa"/>
            </w:tcMar>
            <w:vAlign w:val="center"/>
          </w:tcPr>
          <w:p w14:paraId="4F29E4A9"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0</w:t>
            </w:r>
          </w:p>
        </w:tc>
      </w:tr>
      <w:tr w:rsidR="00871B4B" w:rsidRPr="00626585" w14:paraId="036B242A" w14:textId="77777777" w:rsidTr="00293999">
        <w:tc>
          <w:tcPr>
            <w:tcW w:w="381" w:type="pct"/>
            <w:shd w:val="clear" w:color="auto" w:fill="auto"/>
            <w:tcMar>
              <w:top w:w="0" w:type="dxa"/>
              <w:bottom w:w="0" w:type="dxa"/>
            </w:tcMar>
            <w:vAlign w:val="center"/>
          </w:tcPr>
          <w:p w14:paraId="55FF33C4" w14:textId="25148BB4"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w:t>
            </w:r>
          </w:p>
        </w:tc>
        <w:tc>
          <w:tcPr>
            <w:tcW w:w="3272" w:type="pct"/>
            <w:shd w:val="clear" w:color="auto" w:fill="auto"/>
            <w:tcMar>
              <w:top w:w="0" w:type="dxa"/>
              <w:bottom w:w="0" w:type="dxa"/>
            </w:tcMar>
            <w:vAlign w:val="center"/>
          </w:tcPr>
          <w:p w14:paraId="3A71D21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Profit after tax after appropriation for funds in 2022 (1-2)</w:t>
            </w:r>
          </w:p>
        </w:tc>
        <w:tc>
          <w:tcPr>
            <w:tcW w:w="1347" w:type="pct"/>
            <w:shd w:val="clear" w:color="auto" w:fill="auto"/>
            <w:tcMar>
              <w:top w:w="0" w:type="dxa"/>
              <w:bottom w:w="0" w:type="dxa"/>
            </w:tcMar>
            <w:vAlign w:val="center"/>
          </w:tcPr>
          <w:p w14:paraId="3B95F880"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3,718,853,947</w:t>
            </w:r>
          </w:p>
        </w:tc>
      </w:tr>
      <w:tr w:rsidR="00871B4B" w:rsidRPr="00626585" w14:paraId="35379E8C" w14:textId="77777777" w:rsidTr="00293999">
        <w:tc>
          <w:tcPr>
            <w:tcW w:w="381" w:type="pct"/>
            <w:shd w:val="clear" w:color="auto" w:fill="auto"/>
            <w:tcMar>
              <w:top w:w="0" w:type="dxa"/>
              <w:bottom w:w="0" w:type="dxa"/>
            </w:tcMar>
            <w:vAlign w:val="center"/>
          </w:tcPr>
          <w:p w14:paraId="405714AF" w14:textId="204033F6"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4.</w:t>
            </w:r>
          </w:p>
        </w:tc>
        <w:tc>
          <w:tcPr>
            <w:tcW w:w="3272" w:type="pct"/>
            <w:shd w:val="clear" w:color="auto" w:fill="auto"/>
            <w:tcMar>
              <w:top w:w="0" w:type="dxa"/>
              <w:bottom w:w="0" w:type="dxa"/>
            </w:tcMar>
            <w:vAlign w:val="center"/>
          </w:tcPr>
          <w:p w14:paraId="67C1449B" w14:textId="4CF94CCB"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Undistributed profits in the previous year</w:t>
            </w:r>
            <w:r w:rsidR="00F27320" w:rsidRPr="00626585">
              <w:rPr>
                <w:rFonts w:ascii="Arial" w:hAnsi="Arial" w:cs="Arial"/>
                <w:color w:val="010000"/>
                <w:sz w:val="20"/>
              </w:rPr>
              <w:t>s</w:t>
            </w:r>
          </w:p>
        </w:tc>
        <w:tc>
          <w:tcPr>
            <w:tcW w:w="1347" w:type="pct"/>
            <w:shd w:val="clear" w:color="auto" w:fill="auto"/>
            <w:tcMar>
              <w:top w:w="0" w:type="dxa"/>
              <w:bottom w:w="0" w:type="dxa"/>
            </w:tcMar>
            <w:vAlign w:val="center"/>
          </w:tcPr>
          <w:p w14:paraId="7C71CFA3"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131,694,974</w:t>
            </w:r>
          </w:p>
        </w:tc>
      </w:tr>
      <w:tr w:rsidR="00871B4B" w:rsidRPr="00626585" w14:paraId="200CEB3C" w14:textId="77777777" w:rsidTr="00293999">
        <w:tc>
          <w:tcPr>
            <w:tcW w:w="381" w:type="pct"/>
            <w:shd w:val="clear" w:color="auto" w:fill="auto"/>
            <w:tcMar>
              <w:top w:w="0" w:type="dxa"/>
              <w:bottom w:w="0" w:type="dxa"/>
            </w:tcMar>
            <w:vAlign w:val="center"/>
          </w:tcPr>
          <w:p w14:paraId="31CA1DED" w14:textId="5A16275A"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5.</w:t>
            </w:r>
          </w:p>
        </w:tc>
        <w:tc>
          <w:tcPr>
            <w:tcW w:w="3272" w:type="pct"/>
            <w:shd w:val="clear" w:color="auto" w:fill="auto"/>
            <w:tcMar>
              <w:top w:w="0" w:type="dxa"/>
              <w:bottom w:w="0" w:type="dxa"/>
            </w:tcMar>
            <w:vAlign w:val="center"/>
          </w:tcPr>
          <w:p w14:paraId="31EAE85D" w14:textId="5DC3344A"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Undistributed profits (=3+4)</w:t>
            </w:r>
          </w:p>
        </w:tc>
        <w:tc>
          <w:tcPr>
            <w:tcW w:w="1347" w:type="pct"/>
            <w:shd w:val="clear" w:color="auto" w:fill="auto"/>
            <w:tcMar>
              <w:top w:w="0" w:type="dxa"/>
              <w:bottom w:w="0" w:type="dxa"/>
            </w:tcMar>
            <w:vAlign w:val="center"/>
          </w:tcPr>
          <w:p w14:paraId="1BE0F468"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3,850,548,921</w:t>
            </w:r>
          </w:p>
        </w:tc>
      </w:tr>
      <w:tr w:rsidR="00871B4B" w:rsidRPr="00626585" w14:paraId="44A0D89E" w14:textId="77777777" w:rsidTr="00293999">
        <w:tc>
          <w:tcPr>
            <w:tcW w:w="381" w:type="pct"/>
            <w:shd w:val="clear" w:color="auto" w:fill="auto"/>
            <w:tcMar>
              <w:top w:w="0" w:type="dxa"/>
              <w:bottom w:w="0" w:type="dxa"/>
            </w:tcMar>
            <w:vAlign w:val="center"/>
          </w:tcPr>
          <w:p w14:paraId="2AA93224" w14:textId="1EF0905F"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6.</w:t>
            </w:r>
          </w:p>
        </w:tc>
        <w:tc>
          <w:tcPr>
            <w:tcW w:w="3272" w:type="pct"/>
            <w:shd w:val="clear" w:color="auto" w:fill="auto"/>
            <w:tcMar>
              <w:top w:w="0" w:type="dxa"/>
              <w:bottom w:w="0" w:type="dxa"/>
            </w:tcMar>
            <w:vAlign w:val="center"/>
          </w:tcPr>
          <w:p w14:paraId="37F564A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Dividend in 2023 (5%)</w:t>
            </w:r>
          </w:p>
        </w:tc>
        <w:tc>
          <w:tcPr>
            <w:tcW w:w="1347" w:type="pct"/>
            <w:shd w:val="clear" w:color="auto" w:fill="auto"/>
            <w:tcMar>
              <w:top w:w="0" w:type="dxa"/>
              <w:bottom w:w="0" w:type="dxa"/>
            </w:tcMar>
            <w:vAlign w:val="center"/>
          </w:tcPr>
          <w:p w14:paraId="5C22F86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3,500,000,000</w:t>
            </w:r>
          </w:p>
        </w:tc>
      </w:tr>
      <w:tr w:rsidR="00871B4B" w:rsidRPr="00626585" w14:paraId="66816E64" w14:textId="77777777" w:rsidTr="00293999">
        <w:tc>
          <w:tcPr>
            <w:tcW w:w="381" w:type="pct"/>
            <w:shd w:val="clear" w:color="auto" w:fill="auto"/>
            <w:tcMar>
              <w:top w:w="0" w:type="dxa"/>
              <w:bottom w:w="0" w:type="dxa"/>
            </w:tcMar>
            <w:vAlign w:val="center"/>
          </w:tcPr>
          <w:p w14:paraId="69A304A1" w14:textId="0DDF5CD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w:t>
            </w:r>
          </w:p>
        </w:tc>
        <w:tc>
          <w:tcPr>
            <w:tcW w:w="3272" w:type="pct"/>
            <w:shd w:val="clear" w:color="auto" w:fill="auto"/>
            <w:tcMar>
              <w:top w:w="0" w:type="dxa"/>
              <w:bottom w:w="0" w:type="dxa"/>
            </w:tcMar>
            <w:vAlign w:val="center"/>
          </w:tcPr>
          <w:p w14:paraId="2DF58F86"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Retained profit (=5-6)</w:t>
            </w:r>
          </w:p>
        </w:tc>
        <w:tc>
          <w:tcPr>
            <w:tcW w:w="1347" w:type="pct"/>
            <w:shd w:val="clear" w:color="auto" w:fill="auto"/>
            <w:tcMar>
              <w:top w:w="0" w:type="dxa"/>
              <w:bottom w:w="0" w:type="dxa"/>
            </w:tcMar>
            <w:vAlign w:val="center"/>
          </w:tcPr>
          <w:p w14:paraId="408FC4E5"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350,548,921</w:t>
            </w:r>
          </w:p>
        </w:tc>
      </w:tr>
    </w:tbl>
    <w:p w14:paraId="31EBDDBE" w14:textId="41DAB6D1"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7: Approve the remuneration payment of the Board of Directors, the Supervisory Board in 2023</w:t>
      </w:r>
      <w:r w:rsidR="00F27320" w:rsidRPr="00626585">
        <w:rPr>
          <w:rFonts w:ascii="Arial" w:hAnsi="Arial" w:cs="Arial"/>
          <w:color w:val="010000"/>
          <w:sz w:val="20"/>
        </w:rPr>
        <w:t xml:space="preserve"> </w:t>
      </w:r>
      <w:r w:rsidRPr="00626585">
        <w:rPr>
          <w:rFonts w:ascii="Arial" w:hAnsi="Arial" w:cs="Arial"/>
          <w:color w:val="010000"/>
          <w:sz w:val="20"/>
        </w:rPr>
        <w:t xml:space="preserve">and the remuneration </w:t>
      </w:r>
      <w:r w:rsidR="006C318D" w:rsidRPr="00626585">
        <w:rPr>
          <w:rFonts w:ascii="Arial" w:hAnsi="Arial" w:cs="Arial"/>
          <w:color w:val="010000"/>
          <w:sz w:val="20"/>
        </w:rPr>
        <w:t>paymen</w:t>
      </w:r>
      <w:r w:rsidRPr="00626585">
        <w:rPr>
          <w:rFonts w:ascii="Arial" w:hAnsi="Arial" w:cs="Arial"/>
          <w:color w:val="010000"/>
          <w:sz w:val="20"/>
        </w:rPr>
        <w:t xml:space="preserve">t plan </w:t>
      </w:r>
      <w:r w:rsidR="006C318D" w:rsidRPr="00626585">
        <w:rPr>
          <w:rFonts w:ascii="Arial" w:hAnsi="Arial" w:cs="Arial"/>
          <w:color w:val="010000"/>
          <w:sz w:val="20"/>
        </w:rPr>
        <w:t>for</w:t>
      </w:r>
      <w:r w:rsidRPr="00626585">
        <w:rPr>
          <w:rFonts w:ascii="Arial" w:hAnsi="Arial" w:cs="Arial"/>
          <w:color w:val="010000"/>
          <w:sz w:val="20"/>
        </w:rPr>
        <w:t xml:space="preserve"> the Board of Directors, </w:t>
      </w:r>
      <w:r w:rsidR="006C318D" w:rsidRPr="00626585">
        <w:rPr>
          <w:rFonts w:ascii="Arial" w:hAnsi="Arial" w:cs="Arial"/>
          <w:color w:val="010000"/>
          <w:sz w:val="20"/>
        </w:rPr>
        <w:t xml:space="preserve">the </w:t>
      </w:r>
      <w:r w:rsidRPr="00626585">
        <w:rPr>
          <w:rFonts w:ascii="Arial" w:hAnsi="Arial" w:cs="Arial"/>
          <w:color w:val="010000"/>
          <w:sz w:val="20"/>
        </w:rPr>
        <w:t>Supervisory Board in 2024</w:t>
      </w:r>
    </w:p>
    <w:p w14:paraId="40A69053" w14:textId="2681186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8: Approve the selection of independent audit compan</w:t>
      </w:r>
      <w:r w:rsidR="006C318D" w:rsidRPr="00626585">
        <w:rPr>
          <w:rFonts w:ascii="Arial" w:hAnsi="Arial" w:cs="Arial"/>
          <w:color w:val="010000"/>
          <w:sz w:val="20"/>
        </w:rPr>
        <w:t>ies</w:t>
      </w:r>
      <w:r w:rsidRPr="00626585">
        <w:rPr>
          <w:rFonts w:ascii="Arial" w:hAnsi="Arial" w:cs="Arial"/>
          <w:color w:val="010000"/>
          <w:sz w:val="20"/>
        </w:rPr>
        <w:t xml:space="preserve"> to </w:t>
      </w:r>
      <w:r w:rsidR="006C318D" w:rsidRPr="00626585">
        <w:rPr>
          <w:rFonts w:ascii="Arial" w:hAnsi="Arial" w:cs="Arial"/>
          <w:color w:val="010000"/>
          <w:sz w:val="20"/>
        </w:rPr>
        <w:t>audit</w:t>
      </w:r>
      <w:r w:rsidRPr="00626585">
        <w:rPr>
          <w:rFonts w:ascii="Arial" w:hAnsi="Arial" w:cs="Arial"/>
          <w:color w:val="010000"/>
          <w:sz w:val="20"/>
        </w:rPr>
        <w:t xml:space="preserve"> and review the Financial Statements 2024</w:t>
      </w:r>
      <w:r w:rsidR="006C318D" w:rsidRPr="00626585">
        <w:rPr>
          <w:rFonts w:ascii="Arial" w:hAnsi="Arial" w:cs="Arial"/>
          <w:color w:val="010000"/>
          <w:sz w:val="20"/>
        </w:rPr>
        <w:t>.</w:t>
      </w:r>
    </w:p>
    <w:p w14:paraId="50FB92DF" w14:textId="0BD0060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9: Approve the addition of the Company's business</w:t>
      </w:r>
      <w:r w:rsidR="006C318D" w:rsidRPr="00626585">
        <w:rPr>
          <w:rFonts w:ascii="Arial" w:hAnsi="Arial" w:cs="Arial"/>
          <w:color w:val="010000"/>
          <w:sz w:val="20"/>
        </w:rPr>
        <w:t xml:space="preserve"> </w:t>
      </w:r>
      <w:r w:rsidRPr="00626585">
        <w:rPr>
          <w:rFonts w:ascii="Arial" w:hAnsi="Arial" w:cs="Arial"/>
          <w:color w:val="010000"/>
          <w:sz w:val="20"/>
        </w:rPr>
        <w:t>line.</w:t>
      </w:r>
    </w:p>
    <w:p w14:paraId="5E3E633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10: Approve the amendment of the Company's Charter of organization and operation due to the addition of business lines</w:t>
      </w:r>
    </w:p>
    <w:p w14:paraId="1A71AFB1" w14:textId="78D1BADC"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Article 11: Approve the plan on </w:t>
      </w:r>
      <w:r w:rsidR="001A73A5" w:rsidRPr="00626585">
        <w:rPr>
          <w:rFonts w:ascii="Arial" w:hAnsi="Arial" w:cs="Arial"/>
          <w:color w:val="010000"/>
          <w:sz w:val="20"/>
        </w:rPr>
        <w:t>the issuance of shares to pay dividends</w:t>
      </w:r>
      <w:r w:rsidRPr="00626585">
        <w:rPr>
          <w:rFonts w:ascii="Arial" w:hAnsi="Arial" w:cs="Arial"/>
          <w:color w:val="010000"/>
          <w:sz w:val="20"/>
        </w:rPr>
        <w:t xml:space="preserve"> in 2023</w:t>
      </w:r>
    </w:p>
    <w:p w14:paraId="166DEA4D" w14:textId="1A2B5DBC"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I. </w:t>
      </w:r>
      <w:r w:rsidR="001A73A5" w:rsidRPr="00626585">
        <w:rPr>
          <w:rFonts w:ascii="Arial" w:hAnsi="Arial" w:cs="Arial"/>
          <w:color w:val="010000"/>
          <w:sz w:val="20"/>
        </w:rPr>
        <w:t xml:space="preserve">The plan on the issuance of shares to pay dividends </w:t>
      </w:r>
      <w:r w:rsidRPr="00626585">
        <w:rPr>
          <w:rFonts w:ascii="Arial" w:hAnsi="Arial" w:cs="Arial"/>
          <w:color w:val="010000"/>
          <w:sz w:val="20"/>
        </w:rPr>
        <w:t>in 2023</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45"/>
        <w:gridCol w:w="629"/>
        <w:gridCol w:w="4343"/>
      </w:tblGrid>
      <w:tr w:rsidR="00871B4B" w:rsidRPr="00626585" w14:paraId="7548058B" w14:textId="77777777" w:rsidTr="00293999">
        <w:tc>
          <w:tcPr>
            <w:tcW w:w="2243" w:type="pct"/>
            <w:shd w:val="clear" w:color="auto" w:fill="auto"/>
            <w:vAlign w:val="center"/>
          </w:tcPr>
          <w:p w14:paraId="11C24D03" w14:textId="684377EE"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Share name</w:t>
            </w:r>
          </w:p>
        </w:tc>
        <w:tc>
          <w:tcPr>
            <w:tcW w:w="349" w:type="pct"/>
            <w:shd w:val="clear" w:color="auto" w:fill="auto"/>
            <w:vAlign w:val="center"/>
          </w:tcPr>
          <w:p w14:paraId="6611390A"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3DC62361"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Shares of Vimarko Joint Stock Company</w:t>
            </w:r>
          </w:p>
        </w:tc>
      </w:tr>
      <w:tr w:rsidR="00871B4B" w:rsidRPr="00626585" w14:paraId="77092211" w14:textId="77777777" w:rsidTr="00293999">
        <w:tc>
          <w:tcPr>
            <w:tcW w:w="2243" w:type="pct"/>
            <w:shd w:val="clear" w:color="auto" w:fill="auto"/>
            <w:vAlign w:val="center"/>
          </w:tcPr>
          <w:p w14:paraId="6709A65F" w14:textId="4B5DCB0C" w:rsidR="00871B4B" w:rsidRPr="00626585" w:rsidRDefault="001A73A5"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Share type</w:t>
            </w:r>
          </w:p>
        </w:tc>
        <w:tc>
          <w:tcPr>
            <w:tcW w:w="349" w:type="pct"/>
            <w:shd w:val="clear" w:color="auto" w:fill="auto"/>
            <w:vAlign w:val="center"/>
          </w:tcPr>
          <w:p w14:paraId="78407488"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5BC3866E"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Common shares</w:t>
            </w:r>
          </w:p>
        </w:tc>
      </w:tr>
      <w:tr w:rsidR="00871B4B" w:rsidRPr="00626585" w14:paraId="59B898EA" w14:textId="77777777" w:rsidTr="00293999">
        <w:tc>
          <w:tcPr>
            <w:tcW w:w="2243" w:type="pct"/>
            <w:shd w:val="clear" w:color="auto" w:fill="auto"/>
            <w:vAlign w:val="center"/>
          </w:tcPr>
          <w:p w14:paraId="346CECE6"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Par value</w:t>
            </w:r>
          </w:p>
        </w:tc>
        <w:tc>
          <w:tcPr>
            <w:tcW w:w="349" w:type="pct"/>
            <w:shd w:val="clear" w:color="auto" w:fill="auto"/>
            <w:vAlign w:val="center"/>
          </w:tcPr>
          <w:p w14:paraId="51C8FDCF"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26BDC844"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VND 10,000/share</w:t>
            </w:r>
          </w:p>
        </w:tc>
      </w:tr>
      <w:tr w:rsidR="00871B4B" w:rsidRPr="00626585" w14:paraId="73F446FB" w14:textId="77777777" w:rsidTr="00293999">
        <w:tc>
          <w:tcPr>
            <w:tcW w:w="2243" w:type="pct"/>
            <w:shd w:val="clear" w:color="auto" w:fill="auto"/>
            <w:vAlign w:val="center"/>
          </w:tcPr>
          <w:p w14:paraId="19CF3C66"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Current number of outstanding shares (as of May 26, 2024)</w:t>
            </w:r>
          </w:p>
        </w:tc>
        <w:tc>
          <w:tcPr>
            <w:tcW w:w="349" w:type="pct"/>
            <w:shd w:val="clear" w:color="auto" w:fill="auto"/>
            <w:vAlign w:val="center"/>
          </w:tcPr>
          <w:p w14:paraId="3E4CE467"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26E32AF9"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3,885,000 shares</w:t>
            </w:r>
          </w:p>
        </w:tc>
      </w:tr>
      <w:tr w:rsidR="00871B4B" w:rsidRPr="00626585" w14:paraId="0D1336DC" w14:textId="77777777" w:rsidTr="00293999">
        <w:tc>
          <w:tcPr>
            <w:tcW w:w="2243" w:type="pct"/>
            <w:shd w:val="clear" w:color="auto" w:fill="auto"/>
            <w:vAlign w:val="center"/>
          </w:tcPr>
          <w:p w14:paraId="7D53F1AF" w14:textId="070D13A3"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Current charter capital (as of</w:t>
            </w:r>
            <w:r w:rsidR="005722AB" w:rsidRPr="00626585">
              <w:rPr>
                <w:rFonts w:ascii="Arial" w:hAnsi="Arial" w:cs="Arial"/>
                <w:color w:val="010000"/>
                <w:sz w:val="20"/>
              </w:rPr>
              <w:t xml:space="preserve"> </w:t>
            </w:r>
            <w:r w:rsidRPr="00626585">
              <w:rPr>
                <w:rFonts w:ascii="Arial" w:hAnsi="Arial" w:cs="Arial"/>
                <w:color w:val="010000"/>
                <w:sz w:val="20"/>
              </w:rPr>
              <w:t>May 26, 2024)</w:t>
            </w:r>
          </w:p>
        </w:tc>
        <w:tc>
          <w:tcPr>
            <w:tcW w:w="349" w:type="pct"/>
            <w:shd w:val="clear" w:color="auto" w:fill="auto"/>
            <w:vAlign w:val="center"/>
          </w:tcPr>
          <w:p w14:paraId="186BB300"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76BEB42E"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VND 38,850,000,000</w:t>
            </w:r>
          </w:p>
        </w:tc>
      </w:tr>
      <w:tr w:rsidR="00871B4B" w:rsidRPr="00626585" w14:paraId="5AD6DC4A" w14:textId="77777777" w:rsidTr="00293999">
        <w:tc>
          <w:tcPr>
            <w:tcW w:w="2243" w:type="pct"/>
            <w:shd w:val="clear" w:color="auto" w:fill="auto"/>
            <w:vAlign w:val="center"/>
          </w:tcPr>
          <w:p w14:paraId="352C49FF"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The number of outstanding shares is expected after the Company makes a public offering (according to the plan to offer more shares to the public for existing shareholders in Proposal No. 13/2023/Ttr-HDQT-VMK dated August 22, 2023)</w:t>
            </w:r>
          </w:p>
        </w:tc>
        <w:tc>
          <w:tcPr>
            <w:tcW w:w="349" w:type="pct"/>
            <w:shd w:val="clear" w:color="auto" w:fill="auto"/>
            <w:vAlign w:val="center"/>
          </w:tcPr>
          <w:p w14:paraId="7F1F9EB0"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7B17CB15"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7,000,000 shares</w:t>
            </w:r>
          </w:p>
        </w:tc>
      </w:tr>
      <w:tr w:rsidR="00871B4B" w:rsidRPr="00626585" w14:paraId="4CA33BBB" w14:textId="77777777" w:rsidTr="00293999">
        <w:tc>
          <w:tcPr>
            <w:tcW w:w="2243" w:type="pct"/>
            <w:shd w:val="clear" w:color="auto" w:fill="auto"/>
            <w:vAlign w:val="center"/>
          </w:tcPr>
          <w:p w14:paraId="7FCDDFDE" w14:textId="0D690509" w:rsidR="00871B4B" w:rsidRPr="00626585" w:rsidRDefault="00D3539A"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Expected charter capital</w:t>
            </w:r>
            <w:r w:rsidR="005722AB" w:rsidRPr="00626585">
              <w:rPr>
                <w:rFonts w:ascii="Arial" w:hAnsi="Arial" w:cs="Arial"/>
                <w:color w:val="010000"/>
                <w:sz w:val="20"/>
              </w:rPr>
              <w:t xml:space="preserve"> </w:t>
            </w:r>
            <w:r w:rsidRPr="00626585">
              <w:rPr>
                <w:rFonts w:ascii="Arial" w:hAnsi="Arial" w:cs="Arial"/>
                <w:color w:val="010000"/>
                <w:sz w:val="20"/>
              </w:rPr>
              <w:t xml:space="preserve">after the Company makes a public offering </w:t>
            </w:r>
          </w:p>
        </w:tc>
        <w:tc>
          <w:tcPr>
            <w:tcW w:w="349" w:type="pct"/>
            <w:shd w:val="clear" w:color="auto" w:fill="auto"/>
            <w:vAlign w:val="center"/>
          </w:tcPr>
          <w:p w14:paraId="18123173"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0CFFCE8A"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VND 70,000,000,000</w:t>
            </w:r>
          </w:p>
        </w:tc>
      </w:tr>
      <w:tr w:rsidR="00871B4B" w:rsidRPr="00626585" w14:paraId="2B02BE5B" w14:textId="77777777" w:rsidTr="00293999">
        <w:tc>
          <w:tcPr>
            <w:tcW w:w="2243" w:type="pct"/>
            <w:shd w:val="clear" w:color="auto" w:fill="auto"/>
            <w:vAlign w:val="center"/>
          </w:tcPr>
          <w:p w14:paraId="2D37463B"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Number of shares expected to be </w:t>
            </w:r>
            <w:r w:rsidRPr="00626585">
              <w:rPr>
                <w:rFonts w:ascii="Arial" w:hAnsi="Arial" w:cs="Arial"/>
                <w:color w:val="010000"/>
                <w:sz w:val="20"/>
              </w:rPr>
              <w:lastRenderedPageBreak/>
              <w:t>issued</w:t>
            </w:r>
          </w:p>
        </w:tc>
        <w:tc>
          <w:tcPr>
            <w:tcW w:w="349" w:type="pct"/>
            <w:shd w:val="clear" w:color="auto" w:fill="auto"/>
            <w:vAlign w:val="center"/>
          </w:tcPr>
          <w:p w14:paraId="3C8E2258"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lastRenderedPageBreak/>
              <w:t>:</w:t>
            </w:r>
          </w:p>
        </w:tc>
        <w:tc>
          <w:tcPr>
            <w:tcW w:w="2408" w:type="pct"/>
            <w:shd w:val="clear" w:color="auto" w:fill="auto"/>
            <w:vAlign w:val="center"/>
          </w:tcPr>
          <w:p w14:paraId="33C86CCD"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350,000 shares</w:t>
            </w:r>
          </w:p>
        </w:tc>
      </w:tr>
      <w:tr w:rsidR="00871B4B" w:rsidRPr="00626585" w14:paraId="4CCDBC6A" w14:textId="77777777" w:rsidTr="00293999">
        <w:tc>
          <w:tcPr>
            <w:tcW w:w="2243" w:type="pct"/>
            <w:shd w:val="clear" w:color="auto" w:fill="auto"/>
            <w:vAlign w:val="center"/>
          </w:tcPr>
          <w:p w14:paraId="234D6048" w14:textId="7C20CF81"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Issuance method</w:t>
            </w:r>
          </w:p>
        </w:tc>
        <w:tc>
          <w:tcPr>
            <w:tcW w:w="349" w:type="pct"/>
            <w:shd w:val="clear" w:color="auto" w:fill="auto"/>
            <w:vAlign w:val="center"/>
          </w:tcPr>
          <w:p w14:paraId="6A737EF9"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6BDB07F9" w14:textId="5708CEE3" w:rsidR="00871B4B" w:rsidRPr="00626585" w:rsidRDefault="00D3539A"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Issuance of shares to pay dividends</w:t>
            </w:r>
            <w:r w:rsidR="00CB4713" w:rsidRPr="00626585">
              <w:rPr>
                <w:rFonts w:ascii="Arial" w:hAnsi="Arial" w:cs="Arial"/>
                <w:color w:val="010000"/>
                <w:sz w:val="20"/>
              </w:rPr>
              <w:t xml:space="preserve"> </w:t>
            </w:r>
            <w:r w:rsidRPr="00626585">
              <w:rPr>
                <w:rFonts w:ascii="Arial" w:hAnsi="Arial" w:cs="Arial"/>
                <w:color w:val="010000"/>
                <w:sz w:val="20"/>
              </w:rPr>
              <w:t>2023</w:t>
            </w:r>
          </w:p>
        </w:tc>
      </w:tr>
      <w:tr w:rsidR="00871B4B" w:rsidRPr="00626585" w14:paraId="03FF7235" w14:textId="77777777" w:rsidTr="00293999">
        <w:tc>
          <w:tcPr>
            <w:tcW w:w="2243" w:type="pct"/>
            <w:shd w:val="clear" w:color="auto" w:fill="auto"/>
            <w:vAlign w:val="center"/>
          </w:tcPr>
          <w:p w14:paraId="0BC20A26"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Total expected issuance value</w:t>
            </w:r>
          </w:p>
        </w:tc>
        <w:tc>
          <w:tcPr>
            <w:tcW w:w="349" w:type="pct"/>
            <w:shd w:val="clear" w:color="auto" w:fill="auto"/>
            <w:vAlign w:val="center"/>
          </w:tcPr>
          <w:p w14:paraId="2E0C0CE7"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1F57BD22"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VND 3,500,000,000</w:t>
            </w:r>
          </w:p>
        </w:tc>
      </w:tr>
      <w:tr w:rsidR="00871B4B" w:rsidRPr="00626585" w14:paraId="286C499B" w14:textId="77777777" w:rsidTr="00293999">
        <w:tc>
          <w:tcPr>
            <w:tcW w:w="2243" w:type="pct"/>
            <w:shd w:val="clear" w:color="auto" w:fill="auto"/>
            <w:vAlign w:val="center"/>
          </w:tcPr>
          <w:p w14:paraId="79CD1F36"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The number of outstanding shares after the offering and issuance for dividend payments in 2023</w:t>
            </w:r>
          </w:p>
        </w:tc>
        <w:tc>
          <w:tcPr>
            <w:tcW w:w="349" w:type="pct"/>
            <w:shd w:val="clear" w:color="auto" w:fill="auto"/>
            <w:vAlign w:val="center"/>
          </w:tcPr>
          <w:p w14:paraId="4D335127"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44BD2CCB"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7,350,000 shares</w:t>
            </w:r>
          </w:p>
        </w:tc>
      </w:tr>
      <w:tr w:rsidR="00871B4B" w:rsidRPr="00626585" w14:paraId="021338B8" w14:textId="77777777" w:rsidTr="00293999">
        <w:tc>
          <w:tcPr>
            <w:tcW w:w="2243" w:type="pct"/>
            <w:shd w:val="clear" w:color="auto" w:fill="auto"/>
            <w:vAlign w:val="center"/>
          </w:tcPr>
          <w:p w14:paraId="5D507B53" w14:textId="65FB7E15"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Expected charter capital after the issuance</w:t>
            </w:r>
          </w:p>
        </w:tc>
        <w:tc>
          <w:tcPr>
            <w:tcW w:w="349" w:type="pct"/>
            <w:shd w:val="clear" w:color="auto" w:fill="auto"/>
            <w:vAlign w:val="center"/>
          </w:tcPr>
          <w:p w14:paraId="73980BF2"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2B0F393A"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VND 73,500,000,000</w:t>
            </w:r>
          </w:p>
        </w:tc>
      </w:tr>
      <w:tr w:rsidR="00871B4B" w:rsidRPr="00626585" w14:paraId="6183EFCB" w14:textId="77777777" w:rsidTr="00293999">
        <w:tc>
          <w:tcPr>
            <w:tcW w:w="2243" w:type="pct"/>
            <w:shd w:val="clear" w:color="auto" w:fill="auto"/>
            <w:vAlign w:val="center"/>
          </w:tcPr>
          <w:p w14:paraId="3673ABBC" w14:textId="0F7A682F"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Eligible buyers</w:t>
            </w:r>
          </w:p>
        </w:tc>
        <w:tc>
          <w:tcPr>
            <w:tcW w:w="349" w:type="pct"/>
            <w:shd w:val="clear" w:color="auto" w:fill="auto"/>
            <w:vAlign w:val="center"/>
          </w:tcPr>
          <w:p w14:paraId="0E900A51"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46E886B0" w14:textId="5BFEE945" w:rsidR="00871B4B" w:rsidRPr="00626585" w:rsidRDefault="00293999" w:rsidP="00293999">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Existing shareholders named in the list of shareholders at the record date for the list of shareholders to exercise the right to receive dividends </w:t>
            </w:r>
            <w:r w:rsidR="00042AF0" w:rsidRPr="00626585">
              <w:rPr>
                <w:rFonts w:ascii="Arial" w:hAnsi="Arial" w:cs="Arial"/>
                <w:color w:val="010000"/>
                <w:sz w:val="20"/>
              </w:rPr>
              <w:t>by</w:t>
            </w:r>
            <w:r w:rsidRPr="00626585">
              <w:rPr>
                <w:rFonts w:ascii="Arial" w:hAnsi="Arial" w:cs="Arial"/>
                <w:color w:val="010000"/>
                <w:sz w:val="20"/>
              </w:rPr>
              <w:t xml:space="preserve"> shares issued by the Viet</w:t>
            </w:r>
            <w:r w:rsidR="00F80A90" w:rsidRPr="00626585">
              <w:rPr>
                <w:rFonts w:ascii="Arial" w:hAnsi="Arial" w:cs="Arial"/>
                <w:color w:val="010000"/>
                <w:sz w:val="20"/>
              </w:rPr>
              <w:t>n</w:t>
            </w:r>
            <w:r w:rsidRPr="00626585">
              <w:rPr>
                <w:rFonts w:ascii="Arial" w:hAnsi="Arial" w:cs="Arial"/>
                <w:color w:val="010000"/>
                <w:sz w:val="20"/>
              </w:rPr>
              <w:t>am Securities Depository and Clearing Corporation as prescribed.</w:t>
            </w:r>
          </w:p>
        </w:tc>
      </w:tr>
      <w:tr w:rsidR="00871B4B" w:rsidRPr="00626585" w14:paraId="55AFA339" w14:textId="77777777" w:rsidTr="00293999">
        <w:tc>
          <w:tcPr>
            <w:tcW w:w="2243" w:type="pct"/>
            <w:shd w:val="clear" w:color="auto" w:fill="auto"/>
            <w:vAlign w:val="center"/>
          </w:tcPr>
          <w:p w14:paraId="1D932121"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Rights exercise rate</w:t>
            </w:r>
          </w:p>
        </w:tc>
        <w:tc>
          <w:tcPr>
            <w:tcW w:w="349" w:type="pct"/>
            <w:shd w:val="clear" w:color="auto" w:fill="auto"/>
            <w:vAlign w:val="center"/>
          </w:tcPr>
          <w:p w14:paraId="306AB56C"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18DF9DA6" w14:textId="06585711" w:rsidR="00871B4B" w:rsidRPr="00626585" w:rsidRDefault="00293999" w:rsidP="00042AF0">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5% (On the record date for the list of shareholders to exercise their rights, shareholders owning 100 shares will receive a dividend of 05 new shares according to the principle of rounding down to the unit)</w:t>
            </w:r>
          </w:p>
        </w:tc>
      </w:tr>
      <w:tr w:rsidR="00871B4B" w:rsidRPr="00626585" w14:paraId="525D741D" w14:textId="77777777" w:rsidTr="00293999">
        <w:tc>
          <w:tcPr>
            <w:tcW w:w="2243" w:type="pct"/>
            <w:shd w:val="clear" w:color="auto" w:fill="auto"/>
            <w:vAlign w:val="center"/>
          </w:tcPr>
          <w:p w14:paraId="4E15AB35" w14:textId="4389908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Source of capital to pay dividends in shares</w:t>
            </w:r>
          </w:p>
        </w:tc>
        <w:tc>
          <w:tcPr>
            <w:tcW w:w="349" w:type="pct"/>
            <w:shd w:val="clear" w:color="auto" w:fill="auto"/>
            <w:vAlign w:val="center"/>
          </w:tcPr>
          <w:p w14:paraId="3055E081"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33D01FB7" w14:textId="122CAC63" w:rsidR="00871B4B" w:rsidRPr="00626585" w:rsidRDefault="00293999" w:rsidP="00B11008">
            <w:p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Undistributed profits after tax of the Audited Financial Statements 2023</w:t>
            </w:r>
          </w:p>
        </w:tc>
      </w:tr>
      <w:tr w:rsidR="00871B4B" w:rsidRPr="00626585" w14:paraId="30635338" w14:textId="77777777" w:rsidTr="00293999">
        <w:tc>
          <w:tcPr>
            <w:tcW w:w="2243" w:type="pct"/>
            <w:shd w:val="clear" w:color="auto" w:fill="auto"/>
            <w:vAlign w:val="center"/>
          </w:tcPr>
          <w:p w14:paraId="663C650F" w14:textId="77777777"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Transfer the rights to receive dividends by shares</w:t>
            </w:r>
          </w:p>
        </w:tc>
        <w:tc>
          <w:tcPr>
            <w:tcW w:w="349" w:type="pct"/>
            <w:shd w:val="clear" w:color="auto" w:fill="auto"/>
            <w:vAlign w:val="center"/>
          </w:tcPr>
          <w:p w14:paraId="35FDD933"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668250D1" w14:textId="2D9FA417" w:rsidR="00871B4B" w:rsidRPr="00626585" w:rsidRDefault="00293999" w:rsidP="00293999">
            <w:p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Existing shareholders named in the list at the record date for the list of shareholders exercise the right to receive dividends </w:t>
            </w:r>
            <w:r w:rsidR="00B11008" w:rsidRPr="00626585">
              <w:rPr>
                <w:rFonts w:ascii="Arial" w:hAnsi="Arial" w:cs="Arial"/>
                <w:color w:val="010000"/>
                <w:sz w:val="20"/>
              </w:rPr>
              <w:t>by</w:t>
            </w:r>
            <w:r w:rsidRPr="00626585">
              <w:rPr>
                <w:rFonts w:ascii="Arial" w:hAnsi="Arial" w:cs="Arial"/>
                <w:color w:val="010000"/>
                <w:sz w:val="20"/>
              </w:rPr>
              <w:t xml:space="preserve"> shares </w:t>
            </w:r>
            <w:r w:rsidR="009D640A" w:rsidRPr="00626585">
              <w:rPr>
                <w:rFonts w:ascii="Arial" w:hAnsi="Arial" w:cs="Arial"/>
                <w:color w:val="010000"/>
                <w:sz w:val="20"/>
              </w:rPr>
              <w:t>are not allowed to transfer the rights</w:t>
            </w:r>
          </w:p>
        </w:tc>
      </w:tr>
      <w:tr w:rsidR="00871B4B" w:rsidRPr="00626585" w14:paraId="4DEADAF4" w14:textId="77777777" w:rsidTr="00293999">
        <w:tc>
          <w:tcPr>
            <w:tcW w:w="2243" w:type="pct"/>
            <w:shd w:val="clear" w:color="auto" w:fill="auto"/>
            <w:vAlign w:val="center"/>
          </w:tcPr>
          <w:p w14:paraId="6D7C5765" w14:textId="49B9891D"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Condition for transfer restriction</w:t>
            </w:r>
          </w:p>
        </w:tc>
        <w:tc>
          <w:tcPr>
            <w:tcW w:w="349" w:type="pct"/>
            <w:shd w:val="clear" w:color="auto" w:fill="auto"/>
            <w:vAlign w:val="center"/>
          </w:tcPr>
          <w:p w14:paraId="5631A58A"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639107F3" w14:textId="42FA8856" w:rsidR="00871B4B" w:rsidRPr="00626585" w:rsidRDefault="00293999" w:rsidP="00293999">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Additional issued shares due to dividend payments are free</w:t>
            </w:r>
            <w:r w:rsidR="00F80A90" w:rsidRPr="00626585">
              <w:rPr>
                <w:rFonts w:ascii="Arial" w:hAnsi="Arial" w:cs="Arial"/>
                <w:color w:val="010000"/>
                <w:sz w:val="20"/>
              </w:rPr>
              <w:t xml:space="preserve"> </w:t>
            </w:r>
            <w:r w:rsidRPr="00626585">
              <w:rPr>
                <w:rFonts w:ascii="Arial" w:hAnsi="Arial" w:cs="Arial"/>
                <w:color w:val="010000"/>
                <w:sz w:val="20"/>
              </w:rPr>
              <w:t xml:space="preserve">to </w:t>
            </w:r>
            <w:r w:rsidR="007946B1" w:rsidRPr="00626585">
              <w:rPr>
                <w:rFonts w:ascii="Arial" w:hAnsi="Arial" w:cs="Arial"/>
                <w:color w:val="010000"/>
                <w:sz w:val="20"/>
              </w:rPr>
              <w:t xml:space="preserve">be </w:t>
            </w:r>
            <w:r w:rsidRPr="00626585">
              <w:rPr>
                <w:rFonts w:ascii="Arial" w:hAnsi="Arial" w:cs="Arial"/>
                <w:color w:val="010000"/>
                <w:sz w:val="20"/>
              </w:rPr>
              <w:t>transferred</w:t>
            </w:r>
          </w:p>
        </w:tc>
      </w:tr>
      <w:tr w:rsidR="00871B4B" w:rsidRPr="00626585" w14:paraId="03590713" w14:textId="77777777" w:rsidTr="00293999">
        <w:tc>
          <w:tcPr>
            <w:tcW w:w="2243" w:type="pct"/>
            <w:shd w:val="clear" w:color="auto" w:fill="auto"/>
            <w:vAlign w:val="center"/>
          </w:tcPr>
          <w:p w14:paraId="45DEAF23" w14:textId="78F0D21D"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Distribution method</w:t>
            </w:r>
          </w:p>
        </w:tc>
        <w:tc>
          <w:tcPr>
            <w:tcW w:w="349" w:type="pct"/>
            <w:shd w:val="clear" w:color="auto" w:fill="auto"/>
            <w:vAlign w:val="center"/>
          </w:tcPr>
          <w:p w14:paraId="0AF1AC28"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74663738" w14:textId="74C9BB7F" w:rsidR="00871B4B" w:rsidRPr="00626585" w:rsidRDefault="00293999" w:rsidP="00293999">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For deposited securities: Securities owners carry out procedures to receive dividends for dividend payments at depository members where securities depository accounts are opened.</w:t>
            </w:r>
          </w:p>
          <w:p w14:paraId="1061647F" w14:textId="77777777" w:rsidR="00871B4B" w:rsidRPr="00626585" w:rsidRDefault="00293999" w:rsidP="00293999">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For undeposited securities: Securities owners carry out procedures to receive dividends in shares at the Company’s Headquarters.</w:t>
            </w:r>
          </w:p>
        </w:tc>
      </w:tr>
      <w:tr w:rsidR="00871B4B" w:rsidRPr="00626585" w14:paraId="1A72EA05" w14:textId="77777777" w:rsidTr="00293999">
        <w:tc>
          <w:tcPr>
            <w:tcW w:w="2243" w:type="pct"/>
            <w:shd w:val="clear" w:color="auto" w:fill="auto"/>
            <w:vAlign w:val="center"/>
          </w:tcPr>
          <w:p w14:paraId="09711A74" w14:textId="6E414A5E" w:rsidR="00871B4B" w:rsidRPr="00626585" w:rsidRDefault="00293999"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lastRenderedPageBreak/>
              <w:t>Expected time of issuance</w:t>
            </w:r>
          </w:p>
        </w:tc>
        <w:tc>
          <w:tcPr>
            <w:tcW w:w="349" w:type="pct"/>
            <w:shd w:val="clear" w:color="auto" w:fill="auto"/>
            <w:vAlign w:val="center"/>
          </w:tcPr>
          <w:p w14:paraId="5310909B" w14:textId="77777777" w:rsidR="00871B4B" w:rsidRPr="00626585" w:rsidRDefault="00293999" w:rsidP="00293999">
            <w:pPr>
              <w:tabs>
                <w:tab w:val="left" w:pos="432"/>
              </w:tabs>
              <w:spacing w:after="120" w:line="360" w:lineRule="auto"/>
              <w:rPr>
                <w:rFonts w:ascii="Arial" w:hAnsi="Arial" w:cs="Arial"/>
                <w:color w:val="010000"/>
                <w:sz w:val="20"/>
              </w:rPr>
            </w:pPr>
            <w:r w:rsidRPr="00626585">
              <w:rPr>
                <w:rFonts w:ascii="Arial" w:hAnsi="Arial" w:cs="Arial"/>
                <w:color w:val="010000"/>
                <w:sz w:val="20"/>
              </w:rPr>
              <w:t>:</w:t>
            </w:r>
          </w:p>
        </w:tc>
        <w:tc>
          <w:tcPr>
            <w:tcW w:w="2408" w:type="pct"/>
            <w:shd w:val="clear" w:color="auto" w:fill="auto"/>
            <w:vAlign w:val="center"/>
          </w:tcPr>
          <w:p w14:paraId="3D887A8D" w14:textId="77777777" w:rsidR="00871B4B" w:rsidRPr="00626585" w:rsidRDefault="00293999" w:rsidP="00293999">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The share issuance for dividend payments in 2023 will be carried out after the completion of the offering of more shares to the public to existing shareholders (according to the plan to offer more shares to the public to existing shareholders in Proposal No. 13/2023/Ttr-HDQT-VMK dated August 22, 2023)</w:t>
            </w:r>
          </w:p>
          <w:p w14:paraId="37D250CF"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Expected Q3-4/2024, after being approved by the State Securities Commission</w:t>
            </w:r>
          </w:p>
        </w:tc>
      </w:tr>
      <w:tr w:rsidR="00871B4B" w:rsidRPr="00626585" w14:paraId="107E1E24" w14:textId="77777777" w:rsidTr="00293999">
        <w:tc>
          <w:tcPr>
            <w:tcW w:w="2243" w:type="pct"/>
            <w:shd w:val="clear" w:color="auto" w:fill="auto"/>
            <w:vAlign w:val="center"/>
          </w:tcPr>
          <w:p w14:paraId="45888CF8" w14:textId="79954F67" w:rsidR="00871B4B" w:rsidRPr="00626585" w:rsidRDefault="00A75F7F" w:rsidP="00293999">
            <w:pPr>
              <w:numPr>
                <w:ilvl w:val="0"/>
                <w:numId w:val="1"/>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Commitment</w:t>
            </w:r>
            <w:r w:rsidR="009D640A" w:rsidRPr="00626585">
              <w:rPr>
                <w:rFonts w:ascii="Arial" w:hAnsi="Arial" w:cs="Arial"/>
                <w:color w:val="010000"/>
                <w:sz w:val="20"/>
              </w:rPr>
              <w:t xml:space="preserve"> to trade on the securities market</w:t>
            </w:r>
          </w:p>
        </w:tc>
        <w:tc>
          <w:tcPr>
            <w:tcW w:w="349" w:type="pct"/>
            <w:shd w:val="clear" w:color="auto" w:fill="auto"/>
            <w:vAlign w:val="center"/>
          </w:tcPr>
          <w:p w14:paraId="2294E70E" w14:textId="77777777"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w:t>
            </w:r>
          </w:p>
        </w:tc>
        <w:tc>
          <w:tcPr>
            <w:tcW w:w="2408" w:type="pct"/>
            <w:shd w:val="clear" w:color="auto" w:fill="auto"/>
            <w:vAlign w:val="center"/>
          </w:tcPr>
          <w:p w14:paraId="4570B936" w14:textId="1E8FDD7C" w:rsidR="00871B4B" w:rsidRPr="00626585" w:rsidRDefault="00293999" w:rsidP="00293999">
            <w:pPr>
              <w:pBdr>
                <w:top w:val="nil"/>
                <w:left w:val="nil"/>
                <w:bottom w:val="nil"/>
                <w:right w:val="nil"/>
                <w:between w:val="nil"/>
              </w:pBdr>
              <w:tabs>
                <w:tab w:val="left" w:pos="344"/>
                <w:tab w:val="left" w:pos="432"/>
                <w:tab w:val="left" w:pos="421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The company is committed </w:t>
            </w:r>
            <w:r w:rsidR="009D640A" w:rsidRPr="00626585">
              <w:rPr>
                <w:rFonts w:ascii="Arial" w:hAnsi="Arial" w:cs="Arial"/>
                <w:color w:val="010000"/>
                <w:sz w:val="20"/>
              </w:rPr>
              <w:t xml:space="preserve">trade additional </w:t>
            </w:r>
            <w:r w:rsidRPr="00626585">
              <w:rPr>
                <w:rFonts w:ascii="Arial" w:hAnsi="Arial" w:cs="Arial"/>
                <w:color w:val="010000"/>
                <w:sz w:val="20"/>
              </w:rPr>
              <w:t>issued shares on the securities market within the time limit prescribed by law from the end of the issuance.</w:t>
            </w:r>
          </w:p>
        </w:tc>
      </w:tr>
      <w:tr w:rsidR="00871B4B" w:rsidRPr="00626585" w14:paraId="7A2D6541" w14:textId="77777777" w:rsidTr="00293999">
        <w:tc>
          <w:tcPr>
            <w:tcW w:w="5000" w:type="pct"/>
            <w:gridSpan w:val="3"/>
            <w:shd w:val="clear" w:color="auto" w:fill="auto"/>
            <w:vAlign w:val="center"/>
          </w:tcPr>
          <w:p w14:paraId="51571688" w14:textId="77777777" w:rsidR="00871B4B" w:rsidRPr="00626585" w:rsidRDefault="00293999" w:rsidP="0029399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Plan for rounding and handling fractional shares:</w:t>
            </w:r>
          </w:p>
          <w:p w14:paraId="150835E0" w14:textId="5D513713" w:rsidR="00871B4B" w:rsidRPr="00626585" w:rsidRDefault="00293999" w:rsidP="00293999">
            <w:pPr>
              <w:pBdr>
                <w:top w:val="nil"/>
                <w:left w:val="nil"/>
                <w:bottom w:val="nil"/>
                <w:right w:val="nil"/>
                <w:between w:val="nil"/>
              </w:pBdr>
              <w:tabs>
                <w:tab w:val="left" w:pos="432"/>
                <w:tab w:val="left" w:pos="10214"/>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The number of shares issued in addition to </w:t>
            </w:r>
            <w:r w:rsidR="00485A25" w:rsidRPr="00626585">
              <w:rPr>
                <w:rFonts w:ascii="Arial" w:hAnsi="Arial" w:cs="Arial"/>
                <w:color w:val="010000"/>
                <w:sz w:val="20"/>
              </w:rPr>
              <w:t>paying</w:t>
            </w:r>
            <w:r w:rsidRPr="00626585">
              <w:rPr>
                <w:rFonts w:ascii="Arial" w:hAnsi="Arial" w:cs="Arial"/>
                <w:color w:val="010000"/>
                <w:sz w:val="20"/>
              </w:rPr>
              <w:t xml:space="preserve"> dividends in shares will be rounded down to units to ensure that the number of shares distributed does not exceed the total number of issued, the number of fractional shares (if any) will be canceled without implementation, the new charter capital is registered based on the actual number of shares distributed. </w:t>
            </w:r>
          </w:p>
          <w:p w14:paraId="77079D60" w14:textId="01EF00A6"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For example: On the record day for the list of shareholders to make the share issuance for dividend payments, shareholder A currently owns 130 shares. At that time, shareholder A </w:t>
            </w:r>
            <w:r w:rsidR="00CD6783" w:rsidRPr="00626585">
              <w:rPr>
                <w:rFonts w:ascii="Arial" w:hAnsi="Arial" w:cs="Arial"/>
                <w:color w:val="010000"/>
                <w:sz w:val="20"/>
              </w:rPr>
              <w:t xml:space="preserve">will receive an additional corresponding amount of shares, which is 130 x 5% = 6.5 shares. </w:t>
            </w:r>
            <w:r w:rsidRPr="00626585">
              <w:rPr>
                <w:rFonts w:ascii="Arial" w:hAnsi="Arial" w:cs="Arial"/>
                <w:color w:val="010000"/>
                <w:sz w:val="20"/>
              </w:rPr>
              <w:t xml:space="preserve">According to the rounding plan and handling of fractional </w:t>
            </w:r>
            <w:r w:rsidR="00485A25" w:rsidRPr="00626585">
              <w:rPr>
                <w:rFonts w:ascii="Arial" w:hAnsi="Arial" w:cs="Arial"/>
                <w:color w:val="010000"/>
                <w:sz w:val="20"/>
              </w:rPr>
              <w:t>shares</w:t>
            </w:r>
            <w:r w:rsidRPr="00626585">
              <w:rPr>
                <w:rFonts w:ascii="Arial" w:hAnsi="Arial" w:cs="Arial"/>
                <w:color w:val="010000"/>
                <w:sz w:val="20"/>
              </w:rPr>
              <w:t>, the number of shares</w:t>
            </w:r>
            <w:r w:rsidR="00CD6783" w:rsidRPr="00626585">
              <w:rPr>
                <w:rFonts w:ascii="Arial" w:hAnsi="Arial" w:cs="Arial"/>
                <w:color w:val="010000"/>
                <w:sz w:val="20"/>
              </w:rPr>
              <w:t xml:space="preserve"> </w:t>
            </w:r>
            <w:r w:rsidRPr="00626585">
              <w:rPr>
                <w:rFonts w:ascii="Arial" w:hAnsi="Arial" w:cs="Arial"/>
                <w:color w:val="010000"/>
                <w:sz w:val="20"/>
              </w:rPr>
              <w:t>shareholder A receive</w:t>
            </w:r>
            <w:r w:rsidR="00A75F7F" w:rsidRPr="00626585">
              <w:rPr>
                <w:rFonts w:ascii="Arial" w:hAnsi="Arial" w:cs="Arial"/>
                <w:color w:val="010000"/>
                <w:sz w:val="20"/>
              </w:rPr>
              <w:t>s</w:t>
            </w:r>
            <w:r w:rsidRPr="00626585">
              <w:rPr>
                <w:rFonts w:ascii="Arial" w:hAnsi="Arial" w:cs="Arial"/>
                <w:color w:val="010000"/>
                <w:sz w:val="20"/>
              </w:rPr>
              <w:t xml:space="preserve"> after rounding is 6 shares, 0.5 </w:t>
            </w:r>
            <w:r w:rsidR="004B590A" w:rsidRPr="00626585">
              <w:rPr>
                <w:rFonts w:ascii="Arial" w:hAnsi="Arial" w:cs="Arial"/>
                <w:color w:val="010000"/>
                <w:sz w:val="20"/>
              </w:rPr>
              <w:t xml:space="preserve">fractional </w:t>
            </w:r>
            <w:r w:rsidRPr="00626585">
              <w:rPr>
                <w:rFonts w:ascii="Arial" w:hAnsi="Arial" w:cs="Arial"/>
                <w:color w:val="010000"/>
                <w:sz w:val="20"/>
              </w:rPr>
              <w:t>shares will be canceled.</w:t>
            </w:r>
          </w:p>
        </w:tc>
      </w:tr>
    </w:tbl>
    <w:p w14:paraId="3A9278B5" w14:textId="0EA4C500" w:rsidR="00871B4B" w:rsidRPr="00626585" w:rsidRDefault="00293999" w:rsidP="00293999">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II. </w:t>
      </w:r>
      <w:r w:rsidR="004B590A" w:rsidRPr="00626585">
        <w:rPr>
          <w:rFonts w:ascii="Arial" w:hAnsi="Arial" w:cs="Arial"/>
          <w:color w:val="010000"/>
          <w:sz w:val="20"/>
        </w:rPr>
        <w:t>Change of business registration and amendment of the charter</w:t>
      </w:r>
    </w:p>
    <w:p w14:paraId="202D889B" w14:textId="77777777" w:rsidR="00871B4B" w:rsidRPr="00626585" w:rsidRDefault="00293999" w:rsidP="0029399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Make changes to business registration with competent State Agencies according to the new capital scale after the end of the issuance</w:t>
      </w:r>
    </w:p>
    <w:p w14:paraId="0DDE556A" w14:textId="77777777" w:rsidR="00871B4B" w:rsidRPr="00626585" w:rsidRDefault="00293999" w:rsidP="00293999">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 xml:space="preserve">Amend Clause 1, Article 6 of the Company's Charter according to the new capital scale after the end of the issuance </w:t>
      </w:r>
    </w:p>
    <w:p w14:paraId="257F7257" w14:textId="5426D9FC" w:rsidR="00871B4B" w:rsidRPr="00626585" w:rsidRDefault="00293999" w:rsidP="00293999">
      <w:p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III</w:t>
      </w:r>
      <w:r w:rsidR="00485A25" w:rsidRPr="00626585">
        <w:rPr>
          <w:rFonts w:ascii="Arial" w:hAnsi="Arial" w:cs="Arial"/>
          <w:color w:val="010000"/>
          <w:sz w:val="20"/>
        </w:rPr>
        <w:t>.</w:t>
      </w:r>
      <w:r w:rsidRPr="00626585">
        <w:rPr>
          <w:rFonts w:ascii="Arial" w:hAnsi="Arial" w:cs="Arial"/>
          <w:color w:val="010000"/>
          <w:sz w:val="20"/>
        </w:rPr>
        <w:t xml:space="preserve"> </w:t>
      </w:r>
      <w:r w:rsidR="004B590A" w:rsidRPr="00626585">
        <w:rPr>
          <w:rFonts w:ascii="Arial" w:hAnsi="Arial" w:cs="Arial"/>
          <w:color w:val="010000"/>
          <w:sz w:val="20"/>
        </w:rPr>
        <w:t>Register for deposit and register for share listing</w:t>
      </w:r>
    </w:p>
    <w:p w14:paraId="25523B3D" w14:textId="51B824A1"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The entire number of shares issued to pay dividends and additional offerings to existing shareholders will be registered at the Viet</w:t>
      </w:r>
      <w:r w:rsidR="004B590A" w:rsidRPr="00626585">
        <w:rPr>
          <w:rFonts w:ascii="Arial" w:hAnsi="Arial" w:cs="Arial"/>
          <w:color w:val="010000"/>
          <w:sz w:val="20"/>
        </w:rPr>
        <w:t>n</w:t>
      </w:r>
      <w:r w:rsidRPr="00626585">
        <w:rPr>
          <w:rFonts w:ascii="Arial" w:hAnsi="Arial" w:cs="Arial"/>
          <w:color w:val="010000"/>
          <w:sz w:val="20"/>
        </w:rPr>
        <w:t>am Securities Depository and Clearing Corporation and registered for trading at the Hanoi Stock Exchange (HNX) in accordance with current law immediately after the end of the offering.</w:t>
      </w:r>
    </w:p>
    <w:p w14:paraId="5EB75F83"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12: Approve the election results of members of the Board of Directors, members of the Supervisory Board for the term 2024-2029 as follows:</w:t>
      </w:r>
    </w:p>
    <w:p w14:paraId="132B4F98" w14:textId="77777777" w:rsidR="00485A25" w:rsidRPr="00626585" w:rsidRDefault="00293999" w:rsidP="00293999">
      <w:pPr>
        <w:numPr>
          <w:ilvl w:val="0"/>
          <w:numId w:val="2"/>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Approve the list of candidates according to the content in Proposal No. 08/2024/Ttr-HDQT-VMK</w:t>
      </w:r>
    </w:p>
    <w:p w14:paraId="68CFAD8D" w14:textId="2C3EAB46" w:rsidR="00871B4B" w:rsidRPr="00626585" w:rsidRDefault="00485A25" w:rsidP="00293999">
      <w:pPr>
        <w:numPr>
          <w:ilvl w:val="0"/>
          <w:numId w:val="2"/>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lastRenderedPageBreak/>
        <w:t>Election results: Based on the election results announced at the Meeting, the following individuals have been elected as members of the Board of Directors and the Supervisory Board for the term</w:t>
      </w:r>
      <w:r w:rsidR="00E864F8" w:rsidRPr="00626585">
        <w:rPr>
          <w:rFonts w:ascii="Arial" w:hAnsi="Arial" w:cs="Arial"/>
          <w:color w:val="010000"/>
          <w:sz w:val="20"/>
        </w:rPr>
        <w:t xml:space="preserve"> </w:t>
      </w:r>
      <w:r w:rsidRPr="00626585">
        <w:rPr>
          <w:rFonts w:ascii="Arial" w:hAnsi="Arial" w:cs="Arial"/>
          <w:color w:val="010000"/>
          <w:sz w:val="20"/>
        </w:rPr>
        <w:t>2024-2029, specifically:</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1"/>
        <w:gridCol w:w="4875"/>
        <w:gridCol w:w="3201"/>
      </w:tblGrid>
      <w:tr w:rsidR="00871B4B" w:rsidRPr="00626585" w14:paraId="0AB5A873" w14:textId="77777777" w:rsidTr="00293999">
        <w:tc>
          <w:tcPr>
            <w:tcW w:w="522" w:type="pct"/>
            <w:shd w:val="clear" w:color="auto" w:fill="auto"/>
            <w:tcMar>
              <w:top w:w="0" w:type="dxa"/>
              <w:bottom w:w="0" w:type="dxa"/>
            </w:tcMar>
            <w:vAlign w:val="center"/>
          </w:tcPr>
          <w:p w14:paraId="0241F81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No.</w:t>
            </w:r>
          </w:p>
        </w:tc>
        <w:tc>
          <w:tcPr>
            <w:tcW w:w="2703" w:type="pct"/>
            <w:shd w:val="clear" w:color="auto" w:fill="auto"/>
            <w:tcMar>
              <w:top w:w="0" w:type="dxa"/>
              <w:bottom w:w="0" w:type="dxa"/>
            </w:tcMar>
            <w:vAlign w:val="center"/>
          </w:tcPr>
          <w:p w14:paraId="37D7DD48"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Name of candidate</w:t>
            </w:r>
          </w:p>
        </w:tc>
        <w:tc>
          <w:tcPr>
            <w:tcW w:w="1775" w:type="pct"/>
            <w:shd w:val="clear" w:color="auto" w:fill="auto"/>
            <w:tcMar>
              <w:top w:w="0" w:type="dxa"/>
              <w:bottom w:w="0" w:type="dxa"/>
            </w:tcMar>
            <w:vAlign w:val="center"/>
          </w:tcPr>
          <w:p w14:paraId="6F50D2D8"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Position</w:t>
            </w:r>
          </w:p>
        </w:tc>
      </w:tr>
      <w:tr w:rsidR="00871B4B" w:rsidRPr="00626585" w14:paraId="6D2370C0" w14:textId="77777777" w:rsidTr="00293999">
        <w:tc>
          <w:tcPr>
            <w:tcW w:w="522" w:type="pct"/>
            <w:shd w:val="clear" w:color="auto" w:fill="auto"/>
            <w:tcMar>
              <w:top w:w="0" w:type="dxa"/>
              <w:bottom w:w="0" w:type="dxa"/>
            </w:tcMar>
            <w:vAlign w:val="center"/>
          </w:tcPr>
          <w:p w14:paraId="760C008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1</w:t>
            </w:r>
          </w:p>
        </w:tc>
        <w:tc>
          <w:tcPr>
            <w:tcW w:w="2703" w:type="pct"/>
            <w:shd w:val="clear" w:color="auto" w:fill="auto"/>
            <w:tcMar>
              <w:top w:w="0" w:type="dxa"/>
              <w:bottom w:w="0" w:type="dxa"/>
            </w:tcMar>
            <w:vAlign w:val="center"/>
          </w:tcPr>
          <w:p w14:paraId="457DBA40"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Tran Quoc Tuan</w:t>
            </w:r>
          </w:p>
        </w:tc>
        <w:tc>
          <w:tcPr>
            <w:tcW w:w="1775" w:type="pct"/>
            <w:shd w:val="clear" w:color="auto" w:fill="auto"/>
            <w:tcMar>
              <w:top w:w="0" w:type="dxa"/>
              <w:bottom w:w="0" w:type="dxa"/>
            </w:tcMar>
            <w:vAlign w:val="center"/>
          </w:tcPr>
          <w:p w14:paraId="035EF681"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Members of the Board of Directors</w:t>
            </w:r>
          </w:p>
        </w:tc>
      </w:tr>
      <w:tr w:rsidR="00871B4B" w:rsidRPr="00626585" w14:paraId="1E6336E9" w14:textId="77777777" w:rsidTr="00293999">
        <w:tc>
          <w:tcPr>
            <w:tcW w:w="522" w:type="pct"/>
            <w:shd w:val="clear" w:color="auto" w:fill="auto"/>
            <w:tcMar>
              <w:top w:w="0" w:type="dxa"/>
              <w:bottom w:w="0" w:type="dxa"/>
            </w:tcMar>
            <w:vAlign w:val="center"/>
          </w:tcPr>
          <w:p w14:paraId="03A9774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2</w:t>
            </w:r>
          </w:p>
        </w:tc>
        <w:tc>
          <w:tcPr>
            <w:tcW w:w="2703" w:type="pct"/>
            <w:shd w:val="clear" w:color="auto" w:fill="auto"/>
            <w:tcMar>
              <w:top w:w="0" w:type="dxa"/>
              <w:bottom w:w="0" w:type="dxa"/>
            </w:tcMar>
            <w:vAlign w:val="center"/>
          </w:tcPr>
          <w:p w14:paraId="1752A110"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Tran Thuy Loan</w:t>
            </w:r>
          </w:p>
        </w:tc>
        <w:tc>
          <w:tcPr>
            <w:tcW w:w="1775" w:type="pct"/>
            <w:shd w:val="clear" w:color="auto" w:fill="auto"/>
            <w:tcMar>
              <w:top w:w="0" w:type="dxa"/>
              <w:bottom w:w="0" w:type="dxa"/>
            </w:tcMar>
            <w:vAlign w:val="center"/>
          </w:tcPr>
          <w:p w14:paraId="57F99F5A"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Members of the Board of Directors</w:t>
            </w:r>
          </w:p>
        </w:tc>
      </w:tr>
      <w:tr w:rsidR="00871B4B" w:rsidRPr="00626585" w14:paraId="426C0F31" w14:textId="77777777" w:rsidTr="00293999">
        <w:tc>
          <w:tcPr>
            <w:tcW w:w="522" w:type="pct"/>
            <w:shd w:val="clear" w:color="auto" w:fill="auto"/>
            <w:tcMar>
              <w:top w:w="0" w:type="dxa"/>
              <w:bottom w:w="0" w:type="dxa"/>
            </w:tcMar>
            <w:vAlign w:val="center"/>
          </w:tcPr>
          <w:p w14:paraId="5F3E3BBE"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3</w:t>
            </w:r>
          </w:p>
        </w:tc>
        <w:tc>
          <w:tcPr>
            <w:tcW w:w="2703" w:type="pct"/>
            <w:shd w:val="clear" w:color="auto" w:fill="auto"/>
            <w:tcMar>
              <w:top w:w="0" w:type="dxa"/>
              <w:bottom w:w="0" w:type="dxa"/>
            </w:tcMar>
            <w:vAlign w:val="center"/>
          </w:tcPr>
          <w:p w14:paraId="7186E394"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Do Van Tuan</w:t>
            </w:r>
          </w:p>
        </w:tc>
        <w:tc>
          <w:tcPr>
            <w:tcW w:w="1775" w:type="pct"/>
            <w:shd w:val="clear" w:color="auto" w:fill="auto"/>
            <w:tcMar>
              <w:top w:w="0" w:type="dxa"/>
              <w:bottom w:w="0" w:type="dxa"/>
            </w:tcMar>
            <w:vAlign w:val="center"/>
          </w:tcPr>
          <w:p w14:paraId="5ED592C2"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Members of the Board of Directors</w:t>
            </w:r>
          </w:p>
        </w:tc>
      </w:tr>
      <w:tr w:rsidR="00871B4B" w:rsidRPr="00626585" w14:paraId="6DCA4C55" w14:textId="77777777" w:rsidTr="00293999">
        <w:tc>
          <w:tcPr>
            <w:tcW w:w="522" w:type="pct"/>
            <w:shd w:val="clear" w:color="auto" w:fill="auto"/>
            <w:tcMar>
              <w:top w:w="0" w:type="dxa"/>
              <w:bottom w:w="0" w:type="dxa"/>
            </w:tcMar>
            <w:vAlign w:val="center"/>
          </w:tcPr>
          <w:p w14:paraId="468FA829"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4</w:t>
            </w:r>
          </w:p>
        </w:tc>
        <w:tc>
          <w:tcPr>
            <w:tcW w:w="2703" w:type="pct"/>
            <w:shd w:val="clear" w:color="auto" w:fill="auto"/>
            <w:tcMar>
              <w:top w:w="0" w:type="dxa"/>
              <w:bottom w:w="0" w:type="dxa"/>
            </w:tcMar>
            <w:vAlign w:val="center"/>
          </w:tcPr>
          <w:p w14:paraId="1033132D"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Le Hai Yen</w:t>
            </w:r>
          </w:p>
        </w:tc>
        <w:tc>
          <w:tcPr>
            <w:tcW w:w="1775" w:type="pct"/>
            <w:shd w:val="clear" w:color="auto" w:fill="auto"/>
            <w:tcMar>
              <w:top w:w="0" w:type="dxa"/>
              <w:bottom w:w="0" w:type="dxa"/>
            </w:tcMar>
            <w:vAlign w:val="center"/>
          </w:tcPr>
          <w:p w14:paraId="12735681"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Member of the Supervisory Board</w:t>
            </w:r>
          </w:p>
        </w:tc>
      </w:tr>
      <w:tr w:rsidR="00871B4B" w:rsidRPr="00626585" w14:paraId="31F4DE07" w14:textId="77777777" w:rsidTr="00293999">
        <w:tc>
          <w:tcPr>
            <w:tcW w:w="522" w:type="pct"/>
            <w:shd w:val="clear" w:color="auto" w:fill="auto"/>
            <w:tcMar>
              <w:top w:w="0" w:type="dxa"/>
              <w:bottom w:w="0" w:type="dxa"/>
            </w:tcMar>
            <w:vAlign w:val="center"/>
          </w:tcPr>
          <w:p w14:paraId="04DF3EEF"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5</w:t>
            </w:r>
          </w:p>
        </w:tc>
        <w:tc>
          <w:tcPr>
            <w:tcW w:w="2703" w:type="pct"/>
            <w:shd w:val="clear" w:color="auto" w:fill="auto"/>
            <w:tcMar>
              <w:top w:w="0" w:type="dxa"/>
              <w:bottom w:w="0" w:type="dxa"/>
            </w:tcMar>
            <w:vAlign w:val="center"/>
          </w:tcPr>
          <w:p w14:paraId="037E199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Pham Thi Thanh Huong</w:t>
            </w:r>
          </w:p>
        </w:tc>
        <w:tc>
          <w:tcPr>
            <w:tcW w:w="1775" w:type="pct"/>
            <w:shd w:val="clear" w:color="auto" w:fill="auto"/>
            <w:tcMar>
              <w:top w:w="0" w:type="dxa"/>
              <w:bottom w:w="0" w:type="dxa"/>
            </w:tcMar>
            <w:vAlign w:val="center"/>
          </w:tcPr>
          <w:p w14:paraId="17A86344"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Member of the Supervisory Board</w:t>
            </w:r>
          </w:p>
        </w:tc>
      </w:tr>
      <w:tr w:rsidR="00871B4B" w:rsidRPr="00626585" w14:paraId="360AB946" w14:textId="77777777" w:rsidTr="00293999">
        <w:tc>
          <w:tcPr>
            <w:tcW w:w="522" w:type="pct"/>
            <w:shd w:val="clear" w:color="auto" w:fill="auto"/>
            <w:tcMar>
              <w:top w:w="0" w:type="dxa"/>
              <w:bottom w:w="0" w:type="dxa"/>
            </w:tcMar>
            <w:vAlign w:val="center"/>
          </w:tcPr>
          <w:p w14:paraId="19F68079"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6</w:t>
            </w:r>
          </w:p>
        </w:tc>
        <w:tc>
          <w:tcPr>
            <w:tcW w:w="2703" w:type="pct"/>
            <w:shd w:val="clear" w:color="auto" w:fill="auto"/>
            <w:tcMar>
              <w:top w:w="0" w:type="dxa"/>
              <w:bottom w:w="0" w:type="dxa"/>
            </w:tcMar>
            <w:vAlign w:val="center"/>
          </w:tcPr>
          <w:p w14:paraId="20AB51D7"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Nguyen Thi Thu Huong</w:t>
            </w:r>
          </w:p>
        </w:tc>
        <w:tc>
          <w:tcPr>
            <w:tcW w:w="1775" w:type="pct"/>
            <w:shd w:val="clear" w:color="auto" w:fill="auto"/>
            <w:tcMar>
              <w:top w:w="0" w:type="dxa"/>
              <w:bottom w:w="0" w:type="dxa"/>
            </w:tcMar>
            <w:vAlign w:val="center"/>
          </w:tcPr>
          <w:p w14:paraId="676F5B34"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Member of the Supervisory Board</w:t>
            </w:r>
          </w:p>
        </w:tc>
      </w:tr>
    </w:tbl>
    <w:p w14:paraId="54729509"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Article 13: Terms of enforcement</w:t>
      </w:r>
    </w:p>
    <w:p w14:paraId="4ACC559B"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This General Mandate is approved by the General Meeting of Shareholders and takes effect from May 26, 2024.</w:t>
      </w:r>
    </w:p>
    <w:p w14:paraId="1BFD0542" w14:textId="77777777" w:rsidR="00871B4B" w:rsidRPr="00626585" w:rsidRDefault="00293999" w:rsidP="0029399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6585">
        <w:rPr>
          <w:rFonts w:ascii="Arial" w:hAnsi="Arial" w:cs="Arial"/>
          <w:color w:val="010000"/>
          <w:sz w:val="20"/>
        </w:rPr>
        <w:t>The Board of Directors, the Board of Management, the Supervisory Board and related individuals of Vimarko Joint Stock Company are responsible for implementing the tasks assigned by the General Meeting of Shareholders in this General Mandate to ensure the interests of the Company's shareholders and comply with the provisions of law.</w:t>
      </w:r>
    </w:p>
    <w:sectPr w:rsidR="00871B4B" w:rsidRPr="00626585" w:rsidSect="0029399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embedRegular r:id="rId1" w:fontKey="{E3CAA9FF-7813-4738-AB31-E96285F3F503}"/>
    <w:embedBold r:id="rId2" w:fontKey="{4B1E6610-D098-4912-B1DA-D7CC2580AB18}"/>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3" w:fontKey="{ABD43E81-9018-4FDB-A6DE-30FB8C3DFB83}"/>
    <w:embedItalic r:id="rId4" w:fontKey="{AE286F0D-1422-447B-A44D-89A4EBE7ED9C}"/>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22777"/>
    <w:multiLevelType w:val="multilevel"/>
    <w:tmpl w:val="79AC38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C67764"/>
    <w:multiLevelType w:val="multilevel"/>
    <w:tmpl w:val="24DA2E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B6B1456"/>
    <w:multiLevelType w:val="multilevel"/>
    <w:tmpl w:val="CC045D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02398840">
    <w:abstractNumId w:val="0"/>
  </w:num>
  <w:num w:numId="2" w16cid:durableId="1703280949">
    <w:abstractNumId w:val="2"/>
  </w:num>
  <w:num w:numId="3" w16cid:durableId="131482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4B"/>
    <w:rsid w:val="00034C7E"/>
    <w:rsid w:val="00042AF0"/>
    <w:rsid w:val="001A73A5"/>
    <w:rsid w:val="00293999"/>
    <w:rsid w:val="00485A25"/>
    <w:rsid w:val="004A4CFC"/>
    <w:rsid w:val="004B590A"/>
    <w:rsid w:val="005722AB"/>
    <w:rsid w:val="00626585"/>
    <w:rsid w:val="006C318D"/>
    <w:rsid w:val="007946B1"/>
    <w:rsid w:val="00871B4B"/>
    <w:rsid w:val="009445A9"/>
    <w:rsid w:val="009D640A"/>
    <w:rsid w:val="00A0470C"/>
    <w:rsid w:val="00A75F7F"/>
    <w:rsid w:val="00B11008"/>
    <w:rsid w:val="00BA60D4"/>
    <w:rsid w:val="00CB27B6"/>
    <w:rsid w:val="00CB4713"/>
    <w:rsid w:val="00CD6783"/>
    <w:rsid w:val="00D3539A"/>
    <w:rsid w:val="00E61F6F"/>
    <w:rsid w:val="00E864F8"/>
    <w:rsid w:val="00F27320"/>
    <w:rsid w:val="00F80A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0212"/>
  <w15:docId w15:val="{B94D5082-0D85-40FB-859A-CB2324E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97183"/>
      <w:w w:val="8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B97183"/>
      <w:w w:val="7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58"/>
      <w:szCs w:val="5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paragraph" w:customStyle="1" w:styleId="Bodytext20">
    <w:name w:val="Body text (2)"/>
    <w:basedOn w:val="Normal"/>
    <w:link w:val="Bodytext2"/>
    <w:pPr>
      <w:ind w:firstLine="170"/>
    </w:pPr>
    <w:rPr>
      <w:rFonts w:ascii="Arial" w:eastAsia="Arial" w:hAnsi="Arial" w:cs="Arial"/>
      <w:b/>
      <w:bCs/>
      <w:sz w:val="10"/>
      <w:szCs w:val="10"/>
    </w:rPr>
  </w:style>
  <w:style w:type="paragraph" w:styleId="BodyText">
    <w:name w:val="Body Text"/>
    <w:basedOn w:val="Normal"/>
    <w:link w:val="BodyTextChar"/>
    <w:qFormat/>
    <w:pPr>
      <w:spacing w:line="31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10"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14" w:lineRule="auto"/>
    </w:pPr>
    <w:rPr>
      <w:rFonts w:ascii="Times New Roman" w:eastAsia="Times New Roman" w:hAnsi="Times New Roman" w:cs="Times New Roman"/>
      <w:sz w:val="22"/>
      <w:szCs w:val="22"/>
    </w:rPr>
  </w:style>
  <w:style w:type="paragraph" w:customStyle="1" w:styleId="Heading31">
    <w:name w:val="Heading #3"/>
    <w:basedOn w:val="Normal"/>
    <w:link w:val="Heading30"/>
    <w:pPr>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line="346" w:lineRule="auto"/>
      <w:jc w:val="center"/>
    </w:pPr>
    <w:rPr>
      <w:rFonts w:ascii="Arial" w:eastAsia="Arial" w:hAnsi="Arial" w:cs="Arial"/>
      <w:color w:val="B97183"/>
      <w:w w:val="80"/>
      <w:sz w:val="20"/>
      <w:szCs w:val="20"/>
    </w:rPr>
  </w:style>
  <w:style w:type="paragraph" w:customStyle="1" w:styleId="Heading11">
    <w:name w:val="Heading #1"/>
    <w:basedOn w:val="Normal"/>
    <w:link w:val="Heading10"/>
    <w:pPr>
      <w:spacing w:line="221" w:lineRule="auto"/>
      <w:outlineLvl w:val="0"/>
    </w:pPr>
    <w:rPr>
      <w:rFonts w:ascii="Times New Roman" w:eastAsia="Times New Roman" w:hAnsi="Times New Roman" w:cs="Times New Roman"/>
      <w:b/>
      <w:bCs/>
      <w:color w:val="B97183"/>
      <w:w w:val="70"/>
      <w:sz w:val="28"/>
      <w:szCs w:val="28"/>
    </w:rPr>
  </w:style>
  <w:style w:type="paragraph" w:customStyle="1" w:styleId="Heading21">
    <w:name w:val="Heading #2"/>
    <w:basedOn w:val="Normal"/>
    <w:link w:val="Heading20"/>
    <w:pPr>
      <w:ind w:left="4200"/>
      <w:outlineLvl w:val="1"/>
    </w:pPr>
    <w:rPr>
      <w:rFonts w:ascii="Times New Roman" w:eastAsia="Times New Roman" w:hAnsi="Times New Roman" w:cs="Times New Roman"/>
      <w:b/>
      <w:bCs/>
    </w:rPr>
  </w:style>
  <w:style w:type="paragraph" w:customStyle="1" w:styleId="Bodytext50">
    <w:name w:val="Body text (5)"/>
    <w:basedOn w:val="Normal"/>
    <w:link w:val="Bodytext5"/>
    <w:rPr>
      <w:rFonts w:ascii="Times New Roman" w:eastAsia="Times New Roman" w:hAnsi="Times New Roman" w:cs="Times New Roman"/>
      <w:sz w:val="58"/>
      <w:szCs w:val="58"/>
    </w:rPr>
  </w:style>
  <w:style w:type="paragraph" w:customStyle="1" w:styleId="Bodytext40">
    <w:name w:val="Body text (4)"/>
    <w:basedOn w:val="Normal"/>
    <w:link w:val="Bodytext4"/>
    <w:pPr>
      <w:ind w:firstLine="960"/>
    </w:pPr>
    <w:rPr>
      <w:rFonts w:ascii="Arial" w:eastAsia="Arial" w:hAnsi="Arial" w:cs="Arial"/>
      <w:sz w:val="18"/>
      <w:szCs w:val="18"/>
    </w:rPr>
  </w:style>
  <w:style w:type="table" w:styleId="TableGrid">
    <w:name w:val="Table Grid"/>
    <w:basedOn w:val="TableNormal"/>
    <w:uiPriority w:val="39"/>
    <w:rsid w:val="00D94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itGLJuDnfEhAFgPg/pGD+9Ekzg==">CgMxLjAyCGguZ2pkZ3hzOAByITFvc1IzdFNzdnZjcm1wWFgwRkFrNHhaRnpTaVV5MkdaNg==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1278</Words>
  <Characters>6762</Characters>
  <Application>Microsoft Office Word</Application>
  <DocSecurity>0</DocSecurity>
  <Lines>260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12</cp:revision>
  <dcterms:created xsi:type="dcterms:W3CDTF">2024-05-29T03:44:00Z</dcterms:created>
  <dcterms:modified xsi:type="dcterms:W3CDTF">2024-05-31T00:07:00Z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5aaadb668f0ee7a4e440c6afc5857a8f60bd49f590b793c06838d8b694238f59</vt:lpwstr>
  </property>
</Properties>
</file>