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3E99" w14:textId="77777777" w:rsidR="00FB5E1D" w:rsidRDefault="00EE3D2E" w:rsidP="001C7E0A">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Pr>
          <w:rFonts w:ascii="Arial" w:hAnsi="Arial"/>
          <w:b/>
          <w:color w:val="010000"/>
          <w:sz w:val="20"/>
        </w:rPr>
        <w:t>ACE: Annual General Mandate 2024</w:t>
      </w:r>
    </w:p>
    <w:p w14:paraId="0A1E385F" w14:textId="77777777" w:rsidR="00FB5E1D" w:rsidRDefault="00EE3D2E" w:rsidP="001C7E0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On April 22, 2024, An Giang Centrifugal Concrete Joint Stock Company announced General Mandate No. 18/NQ-ACECO as follows:</w:t>
      </w:r>
    </w:p>
    <w:p w14:paraId="44653E3F" w14:textId="77777777" w:rsidR="00FB5E1D" w:rsidRDefault="00EE3D2E" w:rsidP="001C7E0A">
      <w:pPr>
        <w:numPr>
          <w:ilvl w:val="0"/>
          <w:numId w:val="14"/>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 Approve the Report of the Board of Directors, the Report of the Board of Managers, the Report of the Supervisory Board, and the audited Financial Statements for 2023 on the production, business, and investment results in 2023 with the following targets:</w:t>
      </w:r>
    </w:p>
    <w:p w14:paraId="7B11D764" w14:textId="77777777" w:rsidR="00FB5E1D" w:rsidRDefault="00EE3D2E" w:rsidP="001C7E0A">
      <w:pPr>
        <w:numPr>
          <w:ilvl w:val="0"/>
          <w:numId w:val="9"/>
        </w:numPr>
        <w:pBdr>
          <w:top w:val="nil"/>
          <w:left w:val="nil"/>
          <w:bottom w:val="nil"/>
          <w:right w:val="nil"/>
          <w:between w:val="nil"/>
        </w:pBdr>
        <w:tabs>
          <w:tab w:val="left" w:pos="360"/>
        </w:tabs>
        <w:spacing w:after="120" w:line="360" w:lineRule="auto"/>
        <w:ind w:left="0" w:firstLine="0"/>
        <w:jc w:val="both"/>
        <w:rPr>
          <w:color w:val="010000"/>
          <w:sz w:val="20"/>
          <w:szCs w:val="20"/>
        </w:rPr>
      </w:pPr>
      <w:r>
        <w:rPr>
          <w:rFonts w:ascii="Arial" w:hAnsi="Arial"/>
          <w:color w:val="010000"/>
          <w:sz w:val="20"/>
        </w:rPr>
        <w:t>Production and business results in 2023:</w:t>
      </w:r>
    </w:p>
    <w:p w14:paraId="768115BB" w14:textId="7062A91E" w:rsidR="00FB5E1D" w:rsidRDefault="00EE3D2E" w:rsidP="001C7E0A">
      <w:pPr>
        <w:numPr>
          <w:ilvl w:val="0"/>
          <w:numId w:val="13"/>
        </w:numPr>
        <w:pBdr>
          <w:top w:val="nil"/>
          <w:left w:val="nil"/>
          <w:bottom w:val="nil"/>
          <w:right w:val="nil"/>
          <w:between w:val="nil"/>
        </w:pBdr>
        <w:tabs>
          <w:tab w:val="left" w:pos="360"/>
          <w:tab w:val="left" w:pos="3448"/>
        </w:tabs>
        <w:spacing w:after="120" w:line="360" w:lineRule="auto"/>
        <w:ind w:left="0" w:firstLine="0"/>
        <w:jc w:val="both"/>
        <w:rPr>
          <w:color w:val="010000"/>
          <w:sz w:val="20"/>
          <w:szCs w:val="20"/>
        </w:rPr>
      </w:pPr>
      <w:r>
        <w:rPr>
          <w:rFonts w:ascii="Arial" w:hAnsi="Arial"/>
          <w:color w:val="010000"/>
          <w:sz w:val="20"/>
        </w:rPr>
        <w:t>Revenue: VND 295,481,188,173</w:t>
      </w:r>
    </w:p>
    <w:p w14:paraId="512B9142" w14:textId="77777777" w:rsidR="00FB5E1D" w:rsidRDefault="00EE3D2E" w:rsidP="001C7E0A">
      <w:pPr>
        <w:numPr>
          <w:ilvl w:val="0"/>
          <w:numId w:val="13"/>
        </w:numPr>
        <w:pBdr>
          <w:top w:val="nil"/>
          <w:left w:val="nil"/>
          <w:bottom w:val="nil"/>
          <w:right w:val="nil"/>
          <w:between w:val="nil"/>
        </w:pBdr>
        <w:tabs>
          <w:tab w:val="left" w:pos="360"/>
        </w:tabs>
        <w:spacing w:after="120" w:line="360" w:lineRule="auto"/>
        <w:ind w:left="0" w:firstLine="0"/>
        <w:jc w:val="both"/>
        <w:rPr>
          <w:color w:val="010000"/>
          <w:sz w:val="20"/>
          <w:szCs w:val="20"/>
        </w:rPr>
      </w:pPr>
      <w:r>
        <w:rPr>
          <w:rFonts w:ascii="Arial" w:hAnsi="Arial"/>
          <w:color w:val="010000"/>
          <w:sz w:val="20"/>
        </w:rPr>
        <w:t>Profit before tax: VND 18,606,687,432</w:t>
      </w:r>
    </w:p>
    <w:p w14:paraId="0F70613A" w14:textId="77777777" w:rsidR="00FB5E1D" w:rsidRDefault="00EE3D2E" w:rsidP="001C7E0A">
      <w:pPr>
        <w:numPr>
          <w:ilvl w:val="0"/>
          <w:numId w:val="13"/>
        </w:numPr>
        <w:pBdr>
          <w:top w:val="nil"/>
          <w:left w:val="nil"/>
          <w:bottom w:val="nil"/>
          <w:right w:val="nil"/>
          <w:between w:val="nil"/>
        </w:pBdr>
        <w:tabs>
          <w:tab w:val="left" w:pos="360"/>
        </w:tabs>
        <w:spacing w:after="120" w:line="360" w:lineRule="auto"/>
        <w:ind w:left="0" w:firstLine="0"/>
        <w:jc w:val="both"/>
        <w:rPr>
          <w:color w:val="010000"/>
          <w:sz w:val="20"/>
          <w:szCs w:val="20"/>
        </w:rPr>
      </w:pPr>
      <w:r>
        <w:rPr>
          <w:rFonts w:ascii="Arial" w:hAnsi="Arial"/>
          <w:color w:val="010000"/>
          <w:sz w:val="20"/>
        </w:rPr>
        <w:t>Profit after tax: VND 14,870,387,668</w:t>
      </w:r>
    </w:p>
    <w:p w14:paraId="654EB626" w14:textId="77777777" w:rsidR="00FB5E1D" w:rsidRDefault="00EE3D2E" w:rsidP="001C7E0A">
      <w:pPr>
        <w:numPr>
          <w:ilvl w:val="0"/>
          <w:numId w:val="9"/>
        </w:numPr>
        <w:pBdr>
          <w:top w:val="nil"/>
          <w:left w:val="nil"/>
          <w:bottom w:val="nil"/>
          <w:right w:val="nil"/>
          <w:between w:val="nil"/>
        </w:pBdr>
        <w:tabs>
          <w:tab w:val="left" w:pos="360"/>
          <w:tab w:val="left" w:pos="3415"/>
          <w:tab w:val="left" w:pos="3804"/>
        </w:tabs>
        <w:spacing w:after="120" w:line="360" w:lineRule="auto"/>
        <w:ind w:left="0" w:firstLine="0"/>
        <w:jc w:val="both"/>
        <w:rPr>
          <w:color w:val="010000"/>
          <w:sz w:val="20"/>
          <w:szCs w:val="20"/>
        </w:rPr>
      </w:pPr>
      <w:r>
        <w:rPr>
          <w:rFonts w:ascii="Arial" w:hAnsi="Arial"/>
          <w:color w:val="010000"/>
          <w:sz w:val="20"/>
        </w:rPr>
        <w:t>Fixed assets investment VND 1,935,393,508</w:t>
      </w:r>
    </w:p>
    <w:p w14:paraId="17AEC5F8" w14:textId="77777777" w:rsidR="00FB5E1D" w:rsidRDefault="00EE3D2E" w:rsidP="001C7E0A">
      <w:pPr>
        <w:keepNext/>
        <w:numPr>
          <w:ilvl w:val="0"/>
          <w:numId w:val="10"/>
        </w:numPr>
        <w:pBdr>
          <w:top w:val="nil"/>
          <w:left w:val="nil"/>
          <w:bottom w:val="nil"/>
          <w:right w:val="nil"/>
          <w:between w:val="nil"/>
        </w:pBdr>
        <w:tabs>
          <w:tab w:val="left" w:pos="245"/>
          <w:tab w:val="left" w:pos="360"/>
        </w:tabs>
        <w:spacing w:after="120" w:line="360" w:lineRule="auto"/>
        <w:jc w:val="both"/>
        <w:rPr>
          <w:color w:val="010000"/>
          <w:sz w:val="20"/>
          <w:szCs w:val="20"/>
        </w:rPr>
      </w:pPr>
      <w:r>
        <w:rPr>
          <w:rFonts w:ascii="Arial" w:hAnsi="Arial"/>
          <w:color w:val="010000"/>
          <w:sz w:val="20"/>
        </w:rPr>
        <w:t>Approve profit distribution in 2023 as follows:</w:t>
      </w:r>
    </w:p>
    <w:p w14:paraId="26ED7FBB" w14:textId="77777777" w:rsidR="00FB5E1D" w:rsidRDefault="00EE3D2E" w:rsidP="001C7E0A">
      <w:pPr>
        <w:numPr>
          <w:ilvl w:val="0"/>
          <w:numId w:val="15"/>
        </w:numPr>
        <w:pBdr>
          <w:top w:val="nil"/>
          <w:left w:val="nil"/>
          <w:bottom w:val="nil"/>
          <w:right w:val="nil"/>
          <w:between w:val="nil"/>
        </w:pBdr>
        <w:tabs>
          <w:tab w:val="left" w:pos="360"/>
          <w:tab w:val="left" w:pos="5470"/>
        </w:tabs>
        <w:spacing w:after="120" w:line="360" w:lineRule="auto"/>
        <w:ind w:left="0" w:firstLine="0"/>
        <w:jc w:val="both"/>
        <w:rPr>
          <w:color w:val="010000"/>
          <w:sz w:val="20"/>
          <w:szCs w:val="20"/>
        </w:rPr>
      </w:pPr>
      <w:r>
        <w:rPr>
          <w:rFonts w:ascii="Arial" w:hAnsi="Arial"/>
          <w:color w:val="010000"/>
          <w:sz w:val="20"/>
        </w:rPr>
        <w:t>Distributed profit after tax: VND 17,934,845,161</w:t>
      </w:r>
    </w:p>
    <w:p w14:paraId="0049EB19" w14:textId="77777777" w:rsidR="00FB5E1D" w:rsidRPr="001C7E0A" w:rsidRDefault="00EE3D2E" w:rsidP="001C7E0A">
      <w:pPr>
        <w:pBdr>
          <w:top w:val="nil"/>
          <w:left w:val="nil"/>
          <w:bottom w:val="nil"/>
          <w:right w:val="nil"/>
          <w:between w:val="nil"/>
        </w:pBdr>
        <w:tabs>
          <w:tab w:val="left" w:pos="360"/>
        </w:tabs>
        <w:spacing w:after="120" w:line="360" w:lineRule="auto"/>
        <w:jc w:val="both"/>
        <w:rPr>
          <w:rFonts w:ascii="Arial" w:eastAsia="Arial" w:hAnsi="Arial" w:cs="Arial"/>
          <w:i/>
          <w:color w:val="010000"/>
          <w:sz w:val="20"/>
          <w:szCs w:val="20"/>
        </w:rPr>
      </w:pPr>
      <w:r w:rsidRPr="001C7E0A">
        <w:rPr>
          <w:rFonts w:ascii="Arial" w:hAnsi="Arial"/>
          <w:i/>
          <w:color w:val="010000"/>
          <w:sz w:val="20"/>
        </w:rPr>
        <w:t>In which: Profit after tax carried forward from 2022 VND 3,064,457,493</w:t>
      </w:r>
    </w:p>
    <w:p w14:paraId="2ECCE078" w14:textId="77777777" w:rsidR="00FB5E1D" w:rsidRDefault="00EE3D2E" w:rsidP="001C7E0A">
      <w:pPr>
        <w:numPr>
          <w:ilvl w:val="0"/>
          <w:numId w:val="2"/>
        </w:numPr>
        <w:pBdr>
          <w:top w:val="nil"/>
          <w:left w:val="nil"/>
          <w:bottom w:val="nil"/>
          <w:right w:val="nil"/>
          <w:between w:val="nil"/>
        </w:pBdr>
        <w:tabs>
          <w:tab w:val="left" w:pos="360"/>
        </w:tabs>
        <w:spacing w:after="120" w:line="360" w:lineRule="auto"/>
        <w:ind w:left="0" w:firstLine="0"/>
        <w:jc w:val="both"/>
        <w:rPr>
          <w:color w:val="010000"/>
          <w:sz w:val="20"/>
          <w:szCs w:val="20"/>
        </w:rPr>
      </w:pPr>
      <w:r>
        <w:rPr>
          <w:rFonts w:ascii="Arial" w:hAnsi="Arial"/>
          <w:color w:val="010000"/>
          <w:sz w:val="20"/>
        </w:rPr>
        <w:t>Dividend payment at 35% of charter capital: VND 10,677,733,500</w:t>
      </w:r>
    </w:p>
    <w:p w14:paraId="04CC32E4" w14:textId="77777777" w:rsidR="00FB5E1D" w:rsidRDefault="00EE3D2E" w:rsidP="001C7E0A">
      <w:pPr>
        <w:numPr>
          <w:ilvl w:val="0"/>
          <w:numId w:val="11"/>
        </w:numPr>
        <w:pBdr>
          <w:top w:val="nil"/>
          <w:left w:val="nil"/>
          <w:bottom w:val="nil"/>
          <w:right w:val="nil"/>
          <w:between w:val="nil"/>
        </w:pBdr>
        <w:tabs>
          <w:tab w:val="left" w:pos="324"/>
          <w:tab w:val="left" w:pos="360"/>
        </w:tabs>
        <w:spacing w:after="120" w:line="360" w:lineRule="auto"/>
        <w:jc w:val="both"/>
        <w:rPr>
          <w:color w:val="010000"/>
          <w:sz w:val="20"/>
          <w:szCs w:val="20"/>
        </w:rPr>
      </w:pPr>
      <w:r>
        <w:rPr>
          <w:rFonts w:ascii="Arial" w:hAnsi="Arial"/>
          <w:color w:val="010000"/>
          <w:sz w:val="20"/>
        </w:rPr>
        <w:t>Appropriation for funds:</w:t>
      </w:r>
    </w:p>
    <w:tbl>
      <w:tblPr>
        <w:tblStyle w:val="a"/>
        <w:tblW w:w="9017" w:type="dxa"/>
        <w:tblBorders>
          <w:top w:val="nil"/>
          <w:left w:val="nil"/>
          <w:bottom w:val="nil"/>
          <w:right w:val="nil"/>
          <w:insideH w:val="nil"/>
          <w:insideV w:val="nil"/>
        </w:tblBorders>
        <w:tblLayout w:type="fixed"/>
        <w:tblLook w:val="0400" w:firstRow="0" w:lastRow="0" w:firstColumn="0" w:lastColumn="0" w:noHBand="0" w:noVBand="1"/>
      </w:tblPr>
      <w:tblGrid>
        <w:gridCol w:w="4508"/>
        <w:gridCol w:w="4509"/>
      </w:tblGrid>
      <w:tr w:rsidR="00FB5E1D" w14:paraId="02F70DF2" w14:textId="77777777">
        <w:tc>
          <w:tcPr>
            <w:tcW w:w="4508" w:type="dxa"/>
          </w:tcPr>
          <w:p w14:paraId="28C907C8" w14:textId="77777777" w:rsidR="00FB5E1D" w:rsidRDefault="00EE3D2E" w:rsidP="001C7E0A">
            <w:pPr>
              <w:numPr>
                <w:ilvl w:val="0"/>
                <w:numId w:val="12"/>
              </w:numPr>
              <w:pBdr>
                <w:top w:val="nil"/>
                <w:left w:val="nil"/>
                <w:bottom w:val="nil"/>
                <w:right w:val="nil"/>
                <w:between w:val="nil"/>
              </w:pBdr>
              <w:tabs>
                <w:tab w:val="left" w:pos="330"/>
                <w:tab w:val="left" w:pos="360"/>
                <w:tab w:val="left" w:pos="1086"/>
              </w:tabs>
              <w:spacing w:after="120" w:line="360" w:lineRule="auto"/>
              <w:jc w:val="both"/>
              <w:rPr>
                <w:color w:val="010000"/>
                <w:sz w:val="20"/>
                <w:szCs w:val="20"/>
              </w:rPr>
            </w:pPr>
            <w:r>
              <w:rPr>
                <w:rFonts w:ascii="Arial" w:hAnsi="Arial"/>
                <w:color w:val="010000"/>
                <w:sz w:val="20"/>
              </w:rPr>
              <w:t>Bonus fund</w:t>
            </w:r>
          </w:p>
          <w:p w14:paraId="433C4AEA" w14:textId="77777777" w:rsidR="00FB5E1D" w:rsidRDefault="00EE3D2E" w:rsidP="001C7E0A">
            <w:pPr>
              <w:numPr>
                <w:ilvl w:val="0"/>
                <w:numId w:val="12"/>
              </w:numPr>
              <w:pBdr>
                <w:top w:val="nil"/>
                <w:left w:val="nil"/>
                <w:bottom w:val="nil"/>
                <w:right w:val="nil"/>
                <w:between w:val="nil"/>
              </w:pBdr>
              <w:tabs>
                <w:tab w:val="left" w:pos="330"/>
                <w:tab w:val="left" w:pos="360"/>
                <w:tab w:val="left" w:pos="1086"/>
              </w:tabs>
              <w:spacing w:after="120" w:line="360" w:lineRule="auto"/>
              <w:jc w:val="both"/>
              <w:rPr>
                <w:color w:val="010000"/>
                <w:sz w:val="20"/>
                <w:szCs w:val="20"/>
              </w:rPr>
            </w:pPr>
            <w:r>
              <w:rPr>
                <w:rFonts w:ascii="Arial" w:hAnsi="Arial"/>
                <w:color w:val="010000"/>
                <w:sz w:val="20"/>
              </w:rPr>
              <w:t>Welfare fund:</w:t>
            </w:r>
          </w:p>
          <w:p w14:paraId="7B12C2E1" w14:textId="77777777" w:rsidR="00FB5E1D" w:rsidRDefault="00EE3D2E" w:rsidP="001C7E0A">
            <w:pPr>
              <w:numPr>
                <w:ilvl w:val="0"/>
                <w:numId w:val="12"/>
              </w:numPr>
              <w:pBdr>
                <w:top w:val="nil"/>
                <w:left w:val="nil"/>
                <w:bottom w:val="nil"/>
                <w:right w:val="nil"/>
                <w:between w:val="nil"/>
              </w:pBdr>
              <w:tabs>
                <w:tab w:val="left" w:pos="330"/>
                <w:tab w:val="left" w:pos="360"/>
                <w:tab w:val="left" w:pos="1086"/>
              </w:tabs>
              <w:spacing w:after="120" w:line="360" w:lineRule="auto"/>
              <w:jc w:val="both"/>
              <w:rPr>
                <w:color w:val="010000"/>
                <w:sz w:val="20"/>
                <w:szCs w:val="20"/>
              </w:rPr>
            </w:pPr>
            <w:r>
              <w:rPr>
                <w:rFonts w:ascii="Arial" w:hAnsi="Arial"/>
                <w:color w:val="010000"/>
                <w:sz w:val="20"/>
              </w:rPr>
              <w:t xml:space="preserve">Remuneration for the Board of Directors, Supervisory Board, and Secretariat: </w:t>
            </w:r>
          </w:p>
          <w:p w14:paraId="19CB23B5" w14:textId="77777777" w:rsidR="00FB5E1D" w:rsidRDefault="00EE3D2E" w:rsidP="001C7E0A">
            <w:pPr>
              <w:numPr>
                <w:ilvl w:val="0"/>
                <w:numId w:val="12"/>
              </w:numPr>
              <w:pBdr>
                <w:top w:val="nil"/>
                <w:left w:val="nil"/>
                <w:bottom w:val="nil"/>
                <w:right w:val="nil"/>
                <w:between w:val="nil"/>
              </w:pBdr>
              <w:tabs>
                <w:tab w:val="left" w:pos="330"/>
                <w:tab w:val="left" w:pos="360"/>
                <w:tab w:val="left" w:pos="1086"/>
              </w:tabs>
              <w:spacing w:after="120" w:line="360" w:lineRule="auto"/>
              <w:jc w:val="both"/>
              <w:rPr>
                <w:color w:val="010000"/>
                <w:sz w:val="20"/>
                <w:szCs w:val="20"/>
              </w:rPr>
            </w:pPr>
            <w:r>
              <w:rPr>
                <w:rFonts w:ascii="Arial" w:hAnsi="Arial"/>
                <w:color w:val="010000"/>
                <w:sz w:val="20"/>
              </w:rPr>
              <w:t>Bonus for the Manager:</w:t>
            </w:r>
          </w:p>
          <w:p w14:paraId="212594DF" w14:textId="77777777" w:rsidR="00FB5E1D" w:rsidRDefault="00EE3D2E" w:rsidP="001C7E0A">
            <w:pPr>
              <w:numPr>
                <w:ilvl w:val="0"/>
                <w:numId w:val="16"/>
              </w:numPr>
              <w:pBdr>
                <w:top w:val="nil"/>
                <w:left w:val="nil"/>
                <w:bottom w:val="nil"/>
                <w:right w:val="nil"/>
                <w:between w:val="nil"/>
              </w:pBdr>
              <w:tabs>
                <w:tab w:val="left" w:pos="324"/>
                <w:tab w:val="left" w:pos="360"/>
                <w:tab w:val="left" w:pos="386"/>
              </w:tabs>
              <w:spacing w:after="120" w:line="360" w:lineRule="auto"/>
              <w:jc w:val="both"/>
              <w:rPr>
                <w:color w:val="010000"/>
                <w:sz w:val="20"/>
                <w:szCs w:val="20"/>
              </w:rPr>
            </w:pPr>
            <w:r>
              <w:rPr>
                <w:rFonts w:ascii="Arial" w:hAnsi="Arial"/>
                <w:color w:val="010000"/>
                <w:sz w:val="20"/>
              </w:rPr>
              <w:t>Profit after tax carried forward to 2024:</w:t>
            </w:r>
          </w:p>
        </w:tc>
        <w:tc>
          <w:tcPr>
            <w:tcW w:w="4509" w:type="dxa"/>
          </w:tcPr>
          <w:p w14:paraId="39CCF8BE" w14:textId="77777777" w:rsidR="00FB5E1D" w:rsidRDefault="00EE3D2E" w:rsidP="001C7E0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VND 2,500,000,000</w:t>
            </w:r>
          </w:p>
          <w:p w14:paraId="076F60AD" w14:textId="77777777" w:rsidR="00FB5E1D" w:rsidRDefault="00EE3D2E" w:rsidP="001C7E0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VND 800,000,000</w:t>
            </w:r>
          </w:p>
          <w:p w14:paraId="56DC838B" w14:textId="77777777" w:rsidR="00FB5E1D" w:rsidRDefault="00EE3D2E" w:rsidP="001C7E0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VND 700,000,000</w:t>
            </w:r>
          </w:p>
          <w:p w14:paraId="66E046CE" w14:textId="7D6780BE" w:rsidR="001C7E0A" w:rsidRDefault="001C7E0A" w:rsidP="001C7E0A">
            <w:pPr>
              <w:pBdr>
                <w:top w:val="nil"/>
                <w:left w:val="nil"/>
                <w:bottom w:val="nil"/>
                <w:right w:val="nil"/>
                <w:between w:val="nil"/>
              </w:pBdr>
              <w:tabs>
                <w:tab w:val="left" w:pos="360"/>
              </w:tabs>
              <w:spacing w:after="120" w:line="360" w:lineRule="auto"/>
              <w:jc w:val="both"/>
              <w:rPr>
                <w:rFonts w:ascii="Arial" w:hAnsi="Arial"/>
                <w:color w:val="010000"/>
                <w:sz w:val="20"/>
              </w:rPr>
            </w:pPr>
          </w:p>
          <w:p w14:paraId="64AF5C43" w14:textId="0D79315D" w:rsidR="00FB5E1D" w:rsidRDefault="001C7E0A" w:rsidP="001C7E0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w:t>
            </w:r>
            <w:r w:rsidR="00EE3D2E">
              <w:rPr>
                <w:rFonts w:ascii="Arial" w:hAnsi="Arial"/>
                <w:color w:val="010000"/>
                <w:sz w:val="20"/>
              </w:rPr>
              <w:t xml:space="preserve"> VND 350,000,000</w:t>
            </w:r>
          </w:p>
          <w:p w14:paraId="36735E57" w14:textId="77777777" w:rsidR="00FB5E1D" w:rsidRDefault="00EE3D2E" w:rsidP="001C7E0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VND 2,907,111,661</w:t>
            </w:r>
          </w:p>
        </w:tc>
      </w:tr>
    </w:tbl>
    <w:p w14:paraId="5ADEA453" w14:textId="77777777" w:rsidR="00FB5E1D" w:rsidRDefault="00EE3D2E" w:rsidP="001C7E0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Dividend payment of 2023 in cash.</w:t>
      </w:r>
    </w:p>
    <w:p w14:paraId="2A52F2D3" w14:textId="77777777" w:rsidR="00FB5E1D" w:rsidRDefault="00EE3D2E" w:rsidP="001C7E0A">
      <w:pPr>
        <w:numPr>
          <w:ilvl w:val="0"/>
          <w:numId w:val="1"/>
        </w:numPr>
        <w:pBdr>
          <w:top w:val="nil"/>
          <w:left w:val="nil"/>
          <w:bottom w:val="nil"/>
          <w:right w:val="nil"/>
          <w:between w:val="nil"/>
        </w:pBdr>
        <w:tabs>
          <w:tab w:val="left" w:pos="360"/>
          <w:tab w:val="left" w:pos="2716"/>
        </w:tabs>
        <w:spacing w:after="120" w:line="360" w:lineRule="auto"/>
        <w:jc w:val="both"/>
        <w:rPr>
          <w:color w:val="010000"/>
          <w:sz w:val="20"/>
          <w:szCs w:val="20"/>
        </w:rPr>
      </w:pPr>
      <w:r>
        <w:rPr>
          <w:rFonts w:ascii="Arial" w:hAnsi="Arial"/>
          <w:color w:val="010000"/>
          <w:sz w:val="20"/>
        </w:rPr>
        <w:t>Round 1: 10% per share (VND 1,000 per share) on May 30, 2024.</w:t>
      </w:r>
    </w:p>
    <w:p w14:paraId="4B3A5DFF" w14:textId="5CD7839C" w:rsidR="00FB5E1D" w:rsidRDefault="00EE3D2E" w:rsidP="001C7E0A">
      <w:pPr>
        <w:numPr>
          <w:ilvl w:val="0"/>
          <w:numId w:val="1"/>
        </w:numPr>
        <w:pBdr>
          <w:top w:val="nil"/>
          <w:left w:val="nil"/>
          <w:bottom w:val="nil"/>
          <w:right w:val="nil"/>
          <w:between w:val="nil"/>
        </w:pBdr>
        <w:tabs>
          <w:tab w:val="left" w:pos="360"/>
          <w:tab w:val="left" w:pos="2716"/>
        </w:tabs>
        <w:spacing w:after="120" w:line="360" w:lineRule="auto"/>
        <w:jc w:val="both"/>
        <w:rPr>
          <w:color w:val="010000"/>
          <w:sz w:val="20"/>
          <w:szCs w:val="20"/>
        </w:rPr>
      </w:pPr>
      <w:r>
        <w:rPr>
          <w:rFonts w:ascii="Arial" w:hAnsi="Arial"/>
          <w:color w:val="010000"/>
          <w:sz w:val="20"/>
        </w:rPr>
        <w:t>Final Round</w:t>
      </w:r>
      <w:r w:rsidR="002A24ED">
        <w:rPr>
          <w:rFonts w:ascii="Arial" w:hAnsi="Arial"/>
          <w:color w:val="010000"/>
          <w:sz w:val="20"/>
        </w:rPr>
        <w:t>:</w:t>
      </w:r>
      <w:r>
        <w:rPr>
          <w:rFonts w:ascii="Arial" w:hAnsi="Arial"/>
          <w:color w:val="010000"/>
          <w:sz w:val="20"/>
        </w:rPr>
        <w:t xml:space="preserve"> 25% per share (VND 2,500 per share) in Q3,</w:t>
      </w:r>
      <w:r w:rsidR="002A24ED">
        <w:rPr>
          <w:rFonts w:ascii="Arial" w:hAnsi="Arial"/>
          <w:color w:val="010000"/>
          <w:sz w:val="20"/>
        </w:rPr>
        <w:t xml:space="preserve"> </w:t>
      </w:r>
      <w:r>
        <w:rPr>
          <w:rFonts w:ascii="Arial" w:hAnsi="Arial"/>
          <w:color w:val="010000"/>
          <w:sz w:val="20"/>
        </w:rPr>
        <w:t>Q4/2024.</w:t>
      </w:r>
    </w:p>
    <w:p w14:paraId="1934D535" w14:textId="7B99F698" w:rsidR="00FB5E1D" w:rsidRDefault="00EE3D2E" w:rsidP="001C7E0A">
      <w:pPr>
        <w:numPr>
          <w:ilvl w:val="0"/>
          <w:numId w:val="3"/>
        </w:numPr>
        <w:pBdr>
          <w:top w:val="nil"/>
          <w:left w:val="nil"/>
          <w:bottom w:val="nil"/>
          <w:right w:val="nil"/>
          <w:between w:val="nil"/>
        </w:pBdr>
        <w:tabs>
          <w:tab w:val="left" w:pos="360"/>
          <w:tab w:val="left" w:pos="1718"/>
        </w:tabs>
        <w:spacing w:after="120" w:line="360" w:lineRule="auto"/>
        <w:jc w:val="both"/>
        <w:rPr>
          <w:color w:val="010000"/>
          <w:sz w:val="20"/>
          <w:szCs w:val="20"/>
        </w:rPr>
      </w:pPr>
      <w:r>
        <w:rPr>
          <w:rFonts w:ascii="Arial" w:hAnsi="Arial"/>
          <w:color w:val="010000"/>
          <w:sz w:val="20"/>
        </w:rPr>
        <w:t xml:space="preserve">Approve the report on remuneration for the Board of Directors, Supervisory Board, </w:t>
      </w:r>
      <w:r w:rsidR="00BA2097">
        <w:rPr>
          <w:rFonts w:ascii="Arial" w:hAnsi="Arial"/>
          <w:color w:val="010000"/>
          <w:sz w:val="20"/>
        </w:rPr>
        <w:t xml:space="preserve">and </w:t>
      </w:r>
      <w:r>
        <w:rPr>
          <w:rFonts w:ascii="Arial" w:hAnsi="Arial"/>
          <w:color w:val="010000"/>
          <w:sz w:val="20"/>
        </w:rPr>
        <w:t>person in charge of Corporate Governance /Company Secretariat in 2023, amounting to VND 384 million.</w:t>
      </w:r>
    </w:p>
    <w:p w14:paraId="1AE4165E" w14:textId="5C961349" w:rsidR="00FB5E1D" w:rsidRDefault="00EE3D2E" w:rsidP="001C7E0A">
      <w:pPr>
        <w:keepNext/>
        <w:numPr>
          <w:ilvl w:val="0"/>
          <w:numId w:val="3"/>
        </w:numPr>
        <w:pBdr>
          <w:top w:val="nil"/>
          <w:left w:val="nil"/>
          <w:bottom w:val="nil"/>
          <w:right w:val="nil"/>
          <w:between w:val="nil"/>
        </w:pBdr>
        <w:tabs>
          <w:tab w:val="left" w:pos="360"/>
          <w:tab w:val="left" w:pos="1723"/>
        </w:tabs>
        <w:spacing w:after="120" w:line="360" w:lineRule="auto"/>
        <w:jc w:val="both"/>
        <w:rPr>
          <w:color w:val="010000"/>
          <w:sz w:val="20"/>
          <w:szCs w:val="20"/>
        </w:rPr>
      </w:pPr>
      <w:r>
        <w:rPr>
          <w:rFonts w:ascii="Arial" w:hAnsi="Arial"/>
          <w:color w:val="010000"/>
          <w:sz w:val="20"/>
        </w:rPr>
        <w:t>Approve the Production, business</w:t>
      </w:r>
      <w:r w:rsidR="00BA2097">
        <w:rPr>
          <w:rFonts w:ascii="Arial" w:hAnsi="Arial"/>
          <w:color w:val="010000"/>
          <w:sz w:val="20"/>
        </w:rPr>
        <w:t>,</w:t>
      </w:r>
      <w:r>
        <w:rPr>
          <w:rFonts w:ascii="Arial" w:hAnsi="Arial"/>
          <w:color w:val="010000"/>
          <w:sz w:val="20"/>
        </w:rPr>
        <w:t xml:space="preserve"> and investment plan for 2024;</w:t>
      </w:r>
    </w:p>
    <w:p w14:paraId="3B3ACBE5" w14:textId="77777777" w:rsidR="00FB5E1D" w:rsidRDefault="00EE3D2E" w:rsidP="001C7E0A">
      <w:pPr>
        <w:numPr>
          <w:ilvl w:val="0"/>
          <w:numId w:val="4"/>
        </w:numPr>
        <w:pBdr>
          <w:top w:val="nil"/>
          <w:left w:val="nil"/>
          <w:bottom w:val="nil"/>
          <w:right w:val="nil"/>
          <w:between w:val="nil"/>
        </w:pBdr>
        <w:tabs>
          <w:tab w:val="left" w:pos="360"/>
        </w:tabs>
        <w:spacing w:after="120" w:line="360" w:lineRule="auto"/>
        <w:ind w:left="0" w:firstLine="0"/>
        <w:jc w:val="both"/>
        <w:rPr>
          <w:color w:val="010000"/>
          <w:sz w:val="20"/>
          <w:szCs w:val="20"/>
        </w:rPr>
      </w:pPr>
      <w:r>
        <w:rPr>
          <w:rFonts w:ascii="Arial" w:hAnsi="Arial"/>
          <w:color w:val="010000"/>
          <w:sz w:val="20"/>
        </w:rPr>
        <w:t>Production and business:</w:t>
      </w:r>
    </w:p>
    <w:p w14:paraId="59ACEF6D" w14:textId="5B9777B0" w:rsidR="00FB5E1D" w:rsidRDefault="00EE3D2E" w:rsidP="001C7E0A">
      <w:pPr>
        <w:numPr>
          <w:ilvl w:val="0"/>
          <w:numId w:val="5"/>
        </w:numPr>
        <w:pBdr>
          <w:top w:val="nil"/>
          <w:left w:val="nil"/>
          <w:bottom w:val="nil"/>
          <w:right w:val="nil"/>
          <w:between w:val="nil"/>
        </w:pBdr>
        <w:tabs>
          <w:tab w:val="left" w:pos="360"/>
          <w:tab w:val="left" w:pos="5142"/>
        </w:tabs>
        <w:spacing w:after="120" w:line="360" w:lineRule="auto"/>
        <w:ind w:left="0" w:firstLine="0"/>
        <w:jc w:val="both"/>
        <w:rPr>
          <w:color w:val="010000"/>
          <w:sz w:val="20"/>
          <w:szCs w:val="20"/>
        </w:rPr>
      </w:pPr>
      <w:r>
        <w:rPr>
          <w:rFonts w:ascii="Arial" w:hAnsi="Arial"/>
          <w:color w:val="010000"/>
          <w:sz w:val="20"/>
        </w:rPr>
        <w:t>Revenue: VND 260 billion;</w:t>
      </w:r>
    </w:p>
    <w:p w14:paraId="5A69FD44" w14:textId="77777777" w:rsidR="00FB5E1D" w:rsidRDefault="00EE3D2E" w:rsidP="001C7E0A">
      <w:pPr>
        <w:numPr>
          <w:ilvl w:val="0"/>
          <w:numId w:val="5"/>
        </w:numPr>
        <w:pBdr>
          <w:top w:val="nil"/>
          <w:left w:val="nil"/>
          <w:bottom w:val="nil"/>
          <w:right w:val="nil"/>
          <w:between w:val="nil"/>
        </w:pBdr>
        <w:tabs>
          <w:tab w:val="left" w:pos="360"/>
        </w:tabs>
        <w:spacing w:after="120" w:line="360" w:lineRule="auto"/>
        <w:ind w:left="0" w:firstLine="0"/>
        <w:jc w:val="both"/>
        <w:rPr>
          <w:color w:val="010000"/>
          <w:sz w:val="20"/>
          <w:szCs w:val="20"/>
        </w:rPr>
      </w:pPr>
      <w:r>
        <w:rPr>
          <w:rFonts w:ascii="Arial" w:hAnsi="Arial"/>
          <w:color w:val="010000"/>
          <w:sz w:val="20"/>
        </w:rPr>
        <w:t>Profit before tax: VND 16 billion;</w:t>
      </w:r>
    </w:p>
    <w:p w14:paraId="2F25FD49" w14:textId="77777777" w:rsidR="00FB5E1D" w:rsidRDefault="00EE3D2E" w:rsidP="001C7E0A">
      <w:pPr>
        <w:numPr>
          <w:ilvl w:val="0"/>
          <w:numId w:val="5"/>
        </w:numPr>
        <w:pBdr>
          <w:top w:val="nil"/>
          <w:left w:val="nil"/>
          <w:bottom w:val="nil"/>
          <w:right w:val="nil"/>
          <w:between w:val="nil"/>
        </w:pBdr>
        <w:tabs>
          <w:tab w:val="left" w:pos="360"/>
        </w:tabs>
        <w:spacing w:after="120" w:line="360" w:lineRule="auto"/>
        <w:ind w:left="0" w:firstLine="0"/>
        <w:jc w:val="both"/>
        <w:rPr>
          <w:color w:val="010000"/>
          <w:sz w:val="20"/>
          <w:szCs w:val="20"/>
        </w:rPr>
      </w:pPr>
      <w:r>
        <w:rPr>
          <w:rFonts w:ascii="Arial" w:hAnsi="Arial"/>
          <w:color w:val="010000"/>
          <w:sz w:val="20"/>
        </w:rPr>
        <w:lastRenderedPageBreak/>
        <w:t>Profit after tax: VND 12.8 billion;</w:t>
      </w:r>
    </w:p>
    <w:p w14:paraId="5F729C5B" w14:textId="77777777" w:rsidR="00FB5E1D" w:rsidRDefault="00EE3D2E" w:rsidP="001C7E0A">
      <w:pPr>
        <w:numPr>
          <w:ilvl w:val="0"/>
          <w:numId w:val="5"/>
        </w:numPr>
        <w:pBdr>
          <w:top w:val="nil"/>
          <w:left w:val="nil"/>
          <w:bottom w:val="nil"/>
          <w:right w:val="nil"/>
          <w:between w:val="nil"/>
        </w:pBdr>
        <w:tabs>
          <w:tab w:val="left" w:pos="360"/>
          <w:tab w:val="left" w:pos="3054"/>
          <w:tab w:val="left" w:pos="5142"/>
        </w:tabs>
        <w:spacing w:after="120" w:line="360" w:lineRule="auto"/>
        <w:ind w:left="0" w:firstLine="0"/>
        <w:jc w:val="both"/>
        <w:rPr>
          <w:color w:val="010000"/>
          <w:sz w:val="20"/>
          <w:szCs w:val="20"/>
        </w:rPr>
      </w:pPr>
      <w:r>
        <w:rPr>
          <w:rFonts w:ascii="Arial" w:hAnsi="Arial"/>
          <w:color w:val="010000"/>
          <w:sz w:val="20"/>
        </w:rPr>
        <w:t>Dividends: 25%/charter capital.</w:t>
      </w:r>
    </w:p>
    <w:p w14:paraId="4AE529CC" w14:textId="77777777" w:rsidR="00FB5E1D" w:rsidRDefault="00EE3D2E" w:rsidP="001C7E0A">
      <w:pPr>
        <w:numPr>
          <w:ilvl w:val="0"/>
          <w:numId w:val="7"/>
        </w:numPr>
        <w:pBdr>
          <w:top w:val="nil"/>
          <w:left w:val="nil"/>
          <w:bottom w:val="nil"/>
          <w:right w:val="nil"/>
          <w:between w:val="nil"/>
        </w:pBdr>
        <w:tabs>
          <w:tab w:val="left" w:pos="360"/>
        </w:tabs>
        <w:spacing w:after="120" w:line="360" w:lineRule="auto"/>
        <w:ind w:left="0" w:firstLine="0"/>
        <w:jc w:val="both"/>
        <w:rPr>
          <w:color w:val="010000"/>
          <w:sz w:val="20"/>
          <w:szCs w:val="20"/>
        </w:rPr>
      </w:pPr>
      <w:r>
        <w:rPr>
          <w:rFonts w:ascii="Arial" w:hAnsi="Arial"/>
          <w:color w:val="010000"/>
          <w:sz w:val="20"/>
        </w:rPr>
        <w:t>Fixed asset investment</w:t>
      </w:r>
    </w:p>
    <w:tbl>
      <w:tblPr>
        <w:tblStyle w:val="a0"/>
        <w:tblW w:w="9017" w:type="dxa"/>
        <w:tblLayout w:type="fixed"/>
        <w:tblLook w:val="0400" w:firstRow="0" w:lastRow="0" w:firstColumn="0" w:lastColumn="0" w:noHBand="0" w:noVBand="1"/>
      </w:tblPr>
      <w:tblGrid>
        <w:gridCol w:w="715"/>
        <w:gridCol w:w="5045"/>
        <w:gridCol w:w="3257"/>
      </w:tblGrid>
      <w:tr w:rsidR="00FB5E1D" w14:paraId="682954E6" w14:textId="77777777" w:rsidTr="00BA2097">
        <w:tc>
          <w:tcPr>
            <w:tcW w:w="71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4814FAC" w14:textId="77777777" w:rsidR="00FB5E1D" w:rsidRDefault="00EE3D2E" w:rsidP="00BA209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504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FDA6E25" w14:textId="77777777" w:rsidR="00FB5E1D" w:rsidRDefault="00EE3D2E" w:rsidP="00BA209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Investment item</w:t>
            </w: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9C07A86" w14:textId="77777777" w:rsidR="00FB5E1D" w:rsidRDefault="00EE3D2E" w:rsidP="00BA209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Value (Million VND)</w:t>
            </w:r>
          </w:p>
        </w:tc>
      </w:tr>
      <w:tr w:rsidR="00FB5E1D" w14:paraId="1C48A2ED" w14:textId="77777777" w:rsidTr="00BA2097">
        <w:tc>
          <w:tcPr>
            <w:tcW w:w="71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4AADCE4" w14:textId="77777777" w:rsidR="00FB5E1D" w:rsidRDefault="00EE3D2E" w:rsidP="00BA209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504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9E8C86D" w14:textId="77777777" w:rsidR="00FB5E1D" w:rsidRDefault="00EE3D2E" w:rsidP="001C7E0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Production line renovation</w:t>
            </w: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5E073D" w14:textId="77777777" w:rsidR="00FB5E1D" w:rsidRDefault="00EE3D2E" w:rsidP="00BA209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6,000</w:t>
            </w:r>
          </w:p>
        </w:tc>
      </w:tr>
      <w:tr w:rsidR="00FB5E1D" w14:paraId="7F5A8D92" w14:textId="77777777" w:rsidTr="00BA2097">
        <w:tc>
          <w:tcPr>
            <w:tcW w:w="71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99F2A00" w14:textId="77777777" w:rsidR="00FB5E1D" w:rsidRDefault="00EE3D2E" w:rsidP="00BA209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504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A1B1BEA" w14:textId="77777777" w:rsidR="00FB5E1D" w:rsidRDefault="00EE3D2E" w:rsidP="001C7E0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Production equipment </w:t>
            </w: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D0AB8A6" w14:textId="77777777" w:rsidR="00FB5E1D" w:rsidRDefault="00EE3D2E" w:rsidP="00BA209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4,000</w:t>
            </w:r>
          </w:p>
        </w:tc>
      </w:tr>
      <w:tr w:rsidR="00FB5E1D" w14:paraId="33259A4A" w14:textId="77777777" w:rsidTr="00BA2097">
        <w:tc>
          <w:tcPr>
            <w:tcW w:w="71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FF60F00" w14:textId="77777777" w:rsidR="00FB5E1D" w:rsidRDefault="00FB5E1D" w:rsidP="00BA2097">
            <w:pPr>
              <w:tabs>
                <w:tab w:val="left" w:pos="360"/>
              </w:tabs>
              <w:spacing w:after="120" w:line="360" w:lineRule="auto"/>
              <w:jc w:val="center"/>
              <w:rPr>
                <w:rFonts w:ascii="Arial" w:eastAsia="Arial" w:hAnsi="Arial" w:cs="Arial"/>
                <w:color w:val="010000"/>
                <w:sz w:val="20"/>
                <w:szCs w:val="20"/>
              </w:rPr>
            </w:pPr>
          </w:p>
        </w:tc>
        <w:tc>
          <w:tcPr>
            <w:tcW w:w="504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DAA61AC" w14:textId="77777777" w:rsidR="00FB5E1D" w:rsidRDefault="00EE3D2E" w:rsidP="001C7E0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Total</w:t>
            </w: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C71C1D2" w14:textId="77777777" w:rsidR="00FB5E1D" w:rsidRDefault="00EE3D2E" w:rsidP="00BA209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10,000</w:t>
            </w:r>
          </w:p>
        </w:tc>
      </w:tr>
    </w:tbl>
    <w:p w14:paraId="449CCC3E" w14:textId="77777777" w:rsidR="00FB5E1D" w:rsidRPr="00BA2097" w:rsidRDefault="00EE3D2E" w:rsidP="00BA2097">
      <w:pPr>
        <w:pBdr>
          <w:top w:val="nil"/>
          <w:left w:val="nil"/>
          <w:bottom w:val="nil"/>
          <w:right w:val="nil"/>
          <w:between w:val="nil"/>
        </w:pBdr>
        <w:tabs>
          <w:tab w:val="left" w:pos="360"/>
        </w:tabs>
        <w:spacing w:after="120" w:line="360" w:lineRule="auto"/>
        <w:jc w:val="center"/>
        <w:rPr>
          <w:rFonts w:ascii="Arial" w:eastAsia="Arial" w:hAnsi="Arial" w:cs="Arial"/>
          <w:i/>
          <w:iCs/>
          <w:color w:val="010000"/>
          <w:sz w:val="20"/>
          <w:szCs w:val="20"/>
        </w:rPr>
      </w:pPr>
      <w:r w:rsidRPr="00BA2097">
        <w:rPr>
          <w:rFonts w:ascii="Arial" w:hAnsi="Arial"/>
          <w:i/>
          <w:iCs/>
          <w:color w:val="010000"/>
          <w:sz w:val="20"/>
        </w:rPr>
        <w:t>(Note: excluding the investment value of the transit mixing station carried forward from 2023)</w:t>
      </w:r>
    </w:p>
    <w:p w14:paraId="4E544BAD" w14:textId="74E05528" w:rsidR="00FB5E1D" w:rsidRDefault="00EE3D2E" w:rsidP="001C7E0A">
      <w:pPr>
        <w:keepNext/>
        <w:numPr>
          <w:ilvl w:val="0"/>
          <w:numId w:val="3"/>
        </w:numPr>
        <w:pBdr>
          <w:top w:val="nil"/>
          <w:left w:val="nil"/>
          <w:bottom w:val="nil"/>
          <w:right w:val="nil"/>
          <w:between w:val="nil"/>
        </w:pBdr>
        <w:tabs>
          <w:tab w:val="left" w:pos="360"/>
        </w:tabs>
        <w:spacing w:after="120" w:line="360" w:lineRule="auto"/>
        <w:jc w:val="both"/>
        <w:rPr>
          <w:color w:val="010000"/>
          <w:sz w:val="20"/>
          <w:szCs w:val="20"/>
        </w:rPr>
      </w:pPr>
      <w:r>
        <w:rPr>
          <w:rFonts w:ascii="Arial" w:hAnsi="Arial"/>
          <w:color w:val="010000"/>
          <w:sz w:val="20"/>
        </w:rPr>
        <w:t xml:space="preserve">Approve the remuneration for the Board of Directors, Supervisory Board, </w:t>
      </w:r>
      <w:r w:rsidR="00BA2097">
        <w:rPr>
          <w:rFonts w:ascii="Arial" w:hAnsi="Arial"/>
          <w:color w:val="010000"/>
          <w:sz w:val="20"/>
        </w:rPr>
        <w:t xml:space="preserve">and </w:t>
      </w:r>
      <w:r>
        <w:rPr>
          <w:rFonts w:ascii="Arial" w:hAnsi="Arial"/>
          <w:color w:val="010000"/>
          <w:sz w:val="20"/>
        </w:rPr>
        <w:t xml:space="preserve">person in charge of Corporate Governance/Company Secretariat in 2024, amounting to VND 384,000,000. </w:t>
      </w:r>
    </w:p>
    <w:p w14:paraId="12E80DEF" w14:textId="77777777" w:rsidR="00FB5E1D" w:rsidRDefault="00EE3D2E" w:rsidP="001C7E0A">
      <w:pPr>
        <w:numPr>
          <w:ilvl w:val="0"/>
          <w:numId w:val="6"/>
        </w:numPr>
        <w:pBdr>
          <w:top w:val="nil"/>
          <w:left w:val="nil"/>
          <w:bottom w:val="nil"/>
          <w:right w:val="nil"/>
          <w:between w:val="nil"/>
        </w:pBdr>
        <w:tabs>
          <w:tab w:val="left" w:pos="360"/>
          <w:tab w:val="left" w:pos="847"/>
        </w:tabs>
        <w:spacing w:after="120" w:line="360" w:lineRule="auto"/>
        <w:jc w:val="both"/>
        <w:rPr>
          <w:color w:val="010000"/>
          <w:sz w:val="20"/>
          <w:szCs w:val="20"/>
        </w:rPr>
      </w:pPr>
      <w:r>
        <w:rPr>
          <w:rFonts w:ascii="Arial" w:hAnsi="Arial"/>
          <w:color w:val="010000"/>
          <w:sz w:val="20"/>
        </w:rPr>
        <w:t>Chair of the Board of Directors: VND 6,000,000/person/month (01 person)</w:t>
      </w:r>
    </w:p>
    <w:p w14:paraId="6B6B3462" w14:textId="0E767A31" w:rsidR="00FB5E1D" w:rsidRDefault="00EE3D2E" w:rsidP="001C7E0A">
      <w:pPr>
        <w:numPr>
          <w:ilvl w:val="0"/>
          <w:numId w:val="6"/>
        </w:numPr>
        <w:pBdr>
          <w:top w:val="nil"/>
          <w:left w:val="nil"/>
          <w:bottom w:val="nil"/>
          <w:right w:val="nil"/>
          <w:between w:val="nil"/>
        </w:pBdr>
        <w:tabs>
          <w:tab w:val="left" w:pos="360"/>
          <w:tab w:val="left" w:pos="842"/>
        </w:tabs>
        <w:spacing w:after="120" w:line="360" w:lineRule="auto"/>
        <w:jc w:val="both"/>
        <w:rPr>
          <w:color w:val="010000"/>
          <w:sz w:val="20"/>
          <w:szCs w:val="20"/>
        </w:rPr>
      </w:pPr>
      <w:r>
        <w:rPr>
          <w:rFonts w:ascii="Arial" w:hAnsi="Arial"/>
          <w:color w:val="010000"/>
          <w:sz w:val="20"/>
        </w:rPr>
        <w:t xml:space="preserve">Member of the Board of Directors: VND 4,000,000/person/month (04 </w:t>
      </w:r>
      <w:r w:rsidR="00BA2097">
        <w:rPr>
          <w:rFonts w:ascii="Arial" w:hAnsi="Arial"/>
          <w:color w:val="010000"/>
          <w:sz w:val="20"/>
        </w:rPr>
        <w:t>persons</w:t>
      </w:r>
      <w:r>
        <w:rPr>
          <w:rFonts w:ascii="Arial" w:hAnsi="Arial"/>
          <w:color w:val="010000"/>
          <w:sz w:val="20"/>
        </w:rPr>
        <w:t>)</w:t>
      </w:r>
    </w:p>
    <w:p w14:paraId="0AC5740A" w14:textId="77777777" w:rsidR="00FB5E1D" w:rsidRDefault="00EE3D2E" w:rsidP="001C7E0A">
      <w:pPr>
        <w:numPr>
          <w:ilvl w:val="0"/>
          <w:numId w:val="6"/>
        </w:numPr>
        <w:pBdr>
          <w:top w:val="nil"/>
          <w:left w:val="nil"/>
          <w:bottom w:val="nil"/>
          <w:right w:val="nil"/>
          <w:between w:val="nil"/>
        </w:pBdr>
        <w:tabs>
          <w:tab w:val="left" w:pos="360"/>
          <w:tab w:val="left" w:pos="847"/>
        </w:tabs>
        <w:spacing w:after="120" w:line="360" w:lineRule="auto"/>
        <w:jc w:val="both"/>
        <w:rPr>
          <w:color w:val="010000"/>
          <w:sz w:val="20"/>
          <w:szCs w:val="20"/>
        </w:rPr>
      </w:pPr>
      <w:r>
        <w:rPr>
          <w:rFonts w:ascii="Arial" w:hAnsi="Arial"/>
          <w:color w:val="010000"/>
          <w:sz w:val="20"/>
        </w:rPr>
        <w:t>Chief of the Supervisory Board: VND 4,000,000/person/month (01 person)</w:t>
      </w:r>
    </w:p>
    <w:p w14:paraId="54014E6A" w14:textId="43BA62BC" w:rsidR="00FB5E1D" w:rsidRDefault="00EE3D2E" w:rsidP="001C7E0A">
      <w:pPr>
        <w:numPr>
          <w:ilvl w:val="0"/>
          <w:numId w:val="6"/>
        </w:numPr>
        <w:pBdr>
          <w:top w:val="nil"/>
          <w:left w:val="nil"/>
          <w:bottom w:val="nil"/>
          <w:right w:val="nil"/>
          <w:between w:val="nil"/>
        </w:pBdr>
        <w:tabs>
          <w:tab w:val="left" w:pos="360"/>
          <w:tab w:val="left" w:pos="847"/>
        </w:tabs>
        <w:spacing w:after="120" w:line="360" w:lineRule="auto"/>
        <w:jc w:val="both"/>
        <w:rPr>
          <w:color w:val="010000"/>
          <w:sz w:val="20"/>
          <w:szCs w:val="20"/>
        </w:rPr>
      </w:pPr>
      <w:r>
        <w:rPr>
          <w:rFonts w:ascii="Arial" w:hAnsi="Arial"/>
          <w:color w:val="010000"/>
          <w:sz w:val="20"/>
        </w:rPr>
        <w:t xml:space="preserve">Member of the Supervisory Board: VND 2,000,000/person/month (02 </w:t>
      </w:r>
      <w:r w:rsidR="00BA2097">
        <w:rPr>
          <w:rFonts w:ascii="Arial" w:hAnsi="Arial"/>
          <w:color w:val="010000"/>
          <w:sz w:val="20"/>
        </w:rPr>
        <w:t>persons</w:t>
      </w:r>
      <w:r>
        <w:rPr>
          <w:rFonts w:ascii="Arial" w:hAnsi="Arial"/>
          <w:color w:val="010000"/>
          <w:sz w:val="20"/>
        </w:rPr>
        <w:t>)</w:t>
      </w:r>
    </w:p>
    <w:p w14:paraId="512A2DD8" w14:textId="77777777" w:rsidR="00FB5E1D" w:rsidRDefault="00EE3D2E" w:rsidP="001C7E0A">
      <w:pPr>
        <w:numPr>
          <w:ilvl w:val="0"/>
          <w:numId w:val="6"/>
        </w:numPr>
        <w:pBdr>
          <w:top w:val="nil"/>
          <w:left w:val="nil"/>
          <w:bottom w:val="nil"/>
          <w:right w:val="nil"/>
          <w:between w:val="nil"/>
        </w:pBdr>
        <w:tabs>
          <w:tab w:val="left" w:pos="360"/>
          <w:tab w:val="left" w:pos="842"/>
        </w:tabs>
        <w:spacing w:after="120" w:line="360" w:lineRule="auto"/>
        <w:jc w:val="both"/>
        <w:rPr>
          <w:color w:val="010000"/>
          <w:sz w:val="20"/>
          <w:szCs w:val="20"/>
        </w:rPr>
      </w:pPr>
      <w:r>
        <w:rPr>
          <w:rFonts w:ascii="Arial" w:hAnsi="Arial"/>
          <w:color w:val="010000"/>
          <w:sz w:val="20"/>
        </w:rPr>
        <w:t>Person in charge of corporate governance/ the Company’s secretariat: VND 2,000,000/person/month (01 person)</w:t>
      </w:r>
    </w:p>
    <w:p w14:paraId="5A2DA28A" w14:textId="77777777" w:rsidR="00FB5E1D" w:rsidRDefault="00EE3D2E" w:rsidP="001C7E0A">
      <w:pPr>
        <w:keepNext/>
        <w:numPr>
          <w:ilvl w:val="0"/>
          <w:numId w:val="8"/>
        </w:numPr>
        <w:pBdr>
          <w:top w:val="nil"/>
          <w:left w:val="nil"/>
          <w:bottom w:val="nil"/>
          <w:right w:val="nil"/>
          <w:between w:val="nil"/>
        </w:pBdr>
        <w:tabs>
          <w:tab w:val="left" w:pos="360"/>
        </w:tabs>
        <w:spacing w:after="120" w:line="360" w:lineRule="auto"/>
        <w:jc w:val="both"/>
        <w:rPr>
          <w:color w:val="010000"/>
          <w:sz w:val="20"/>
          <w:szCs w:val="20"/>
        </w:rPr>
      </w:pPr>
      <w:r>
        <w:rPr>
          <w:rFonts w:ascii="Arial" w:hAnsi="Arial"/>
          <w:color w:val="010000"/>
          <w:sz w:val="20"/>
        </w:rPr>
        <w:t>Audit the Financial Statements for 2024:</w:t>
      </w:r>
    </w:p>
    <w:p w14:paraId="23C177A1" w14:textId="606A8E4D" w:rsidR="00FB5E1D" w:rsidRDefault="00EE3D2E" w:rsidP="001C7E0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selects an audit company from the list of audit companies approved by the State Securities Commission to audit public interest entities in the securities sector to audit the Company's Financial Statements for 2024. The General Meeting authorizes the Board of Directors to select one of the above audit companies to audit the Company's Financial Statements for 2024 and assigns the Manager to sign the auditing contract (the list of audit companies is according to the Proposal dated April 22, 2024</w:t>
      </w:r>
      <w:r w:rsidR="00BA2097">
        <w:rPr>
          <w:rFonts w:ascii="Arial" w:hAnsi="Arial"/>
          <w:color w:val="010000"/>
          <w:sz w:val="20"/>
        </w:rPr>
        <w:t>,</w:t>
      </w:r>
      <w:r>
        <w:rPr>
          <w:rFonts w:ascii="Arial" w:hAnsi="Arial"/>
          <w:color w:val="010000"/>
          <w:sz w:val="20"/>
        </w:rPr>
        <w:t xml:space="preserve"> of the Supervisory Board).</w:t>
      </w:r>
    </w:p>
    <w:p w14:paraId="501719C1" w14:textId="77777777" w:rsidR="00FB5E1D" w:rsidRDefault="00EE3D2E" w:rsidP="001C7E0A">
      <w:pPr>
        <w:numPr>
          <w:ilvl w:val="0"/>
          <w:numId w:val="8"/>
        </w:numPr>
        <w:pBdr>
          <w:top w:val="nil"/>
          <w:left w:val="nil"/>
          <w:bottom w:val="nil"/>
          <w:right w:val="nil"/>
          <w:between w:val="nil"/>
        </w:pBdr>
        <w:tabs>
          <w:tab w:val="left" w:pos="360"/>
        </w:tabs>
        <w:spacing w:after="120" w:line="360" w:lineRule="auto"/>
        <w:jc w:val="both"/>
        <w:rPr>
          <w:color w:val="010000"/>
          <w:sz w:val="20"/>
          <w:szCs w:val="20"/>
        </w:rPr>
      </w:pPr>
      <w:r>
        <w:rPr>
          <w:rFonts w:ascii="Arial" w:hAnsi="Arial"/>
          <w:color w:val="010000"/>
          <w:sz w:val="20"/>
        </w:rPr>
        <w:t xml:space="preserve">The General Meeting assigns the Board of Directors to study the proposals of shareholders and the Supervisory Board to overcome </w:t>
      </w:r>
      <w:bookmarkStart w:id="0" w:name="_GoBack"/>
      <w:r>
        <w:rPr>
          <w:rFonts w:ascii="Arial" w:hAnsi="Arial"/>
          <w:color w:val="010000"/>
          <w:sz w:val="20"/>
        </w:rPr>
        <w:t xml:space="preserve">shortcomings </w:t>
      </w:r>
      <w:bookmarkEnd w:id="0"/>
      <w:r>
        <w:rPr>
          <w:rFonts w:ascii="Arial" w:hAnsi="Arial"/>
          <w:color w:val="010000"/>
          <w:sz w:val="20"/>
        </w:rPr>
        <w:t>and improve production and business efficiency in 2024.</w:t>
      </w:r>
    </w:p>
    <w:p w14:paraId="2143D8C8" w14:textId="47AA1F91" w:rsidR="00FB5E1D" w:rsidRDefault="00EE3D2E" w:rsidP="001C7E0A">
      <w:pPr>
        <w:numPr>
          <w:ilvl w:val="0"/>
          <w:numId w:val="8"/>
        </w:numPr>
        <w:pBdr>
          <w:top w:val="nil"/>
          <w:left w:val="nil"/>
          <w:bottom w:val="nil"/>
          <w:right w:val="nil"/>
          <w:between w:val="nil"/>
        </w:pBdr>
        <w:tabs>
          <w:tab w:val="left" w:pos="360"/>
        </w:tabs>
        <w:spacing w:after="120" w:line="360" w:lineRule="auto"/>
        <w:jc w:val="both"/>
        <w:rPr>
          <w:color w:val="010000"/>
          <w:sz w:val="20"/>
          <w:szCs w:val="20"/>
        </w:rPr>
      </w:pPr>
      <w:r>
        <w:rPr>
          <w:rFonts w:ascii="Arial" w:hAnsi="Arial"/>
          <w:color w:val="010000"/>
          <w:sz w:val="20"/>
        </w:rPr>
        <w:t>The General Meeting assigns the Supervisory Board to inspect, supervise, urge</w:t>
      </w:r>
      <w:r w:rsidR="00437228">
        <w:rPr>
          <w:rFonts w:ascii="Arial" w:hAnsi="Arial"/>
          <w:color w:val="010000"/>
          <w:sz w:val="20"/>
        </w:rPr>
        <w:t>,</w:t>
      </w:r>
      <w:r>
        <w:rPr>
          <w:rFonts w:ascii="Arial" w:hAnsi="Arial"/>
          <w:color w:val="010000"/>
          <w:sz w:val="20"/>
        </w:rPr>
        <w:t xml:space="preserve"> and assist the Board of Directors in effectively implementing the General Mandate.</w:t>
      </w:r>
    </w:p>
    <w:p w14:paraId="42E03810" w14:textId="5E492D37" w:rsidR="00FB5E1D" w:rsidRDefault="00EE3D2E" w:rsidP="001C7E0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The Board of Directors, the Supervisory Board, and all shareholders are responsible for implementing this General Mandate.</w:t>
      </w:r>
    </w:p>
    <w:sectPr w:rsidR="00FB5E1D">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Aptos Display">
    <w:panose1 w:val="00000000000000000000"/>
    <w:charset w:val="00"/>
    <w:family w:val="roman"/>
    <w:notTrueType/>
    <w:pitch w:val="default"/>
  </w:font>
  <w:font w:name="等线">
    <w:panose1 w:val="00000000000000000000"/>
    <w:charset w:val="8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F6C6C"/>
    <w:multiLevelType w:val="multilevel"/>
    <w:tmpl w:val="8C04E492"/>
    <w:lvl w:ilvl="0">
      <w:start w:val="6"/>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8D149EC"/>
    <w:multiLevelType w:val="multilevel"/>
    <w:tmpl w:val="55506AE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428440B"/>
    <w:multiLevelType w:val="multilevel"/>
    <w:tmpl w:val="4610527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D34563C"/>
    <w:multiLevelType w:val="multilevel"/>
    <w:tmpl w:val="2BE44F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9D443E4"/>
    <w:multiLevelType w:val="multilevel"/>
    <w:tmpl w:val="67A4573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D4A0EAE"/>
    <w:multiLevelType w:val="multilevel"/>
    <w:tmpl w:val="AA88C9B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E772020"/>
    <w:multiLevelType w:val="multilevel"/>
    <w:tmpl w:val="5AE209D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29E7057"/>
    <w:multiLevelType w:val="multilevel"/>
    <w:tmpl w:val="323EFA5E"/>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588239D"/>
    <w:multiLevelType w:val="multilevel"/>
    <w:tmpl w:val="D6DE9DC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5C554E9"/>
    <w:multiLevelType w:val="multilevel"/>
    <w:tmpl w:val="49407B4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6F01BEB"/>
    <w:multiLevelType w:val="multilevel"/>
    <w:tmpl w:val="8C9473C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7A84432"/>
    <w:multiLevelType w:val="multilevel"/>
    <w:tmpl w:val="D88051C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0C3573E"/>
    <w:multiLevelType w:val="multilevel"/>
    <w:tmpl w:val="3CC2327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76850D18"/>
    <w:multiLevelType w:val="multilevel"/>
    <w:tmpl w:val="0910248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E433290"/>
    <w:multiLevelType w:val="multilevel"/>
    <w:tmpl w:val="08226ACE"/>
    <w:lvl w:ilvl="0">
      <w:start w:val="3"/>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F6A5A54"/>
    <w:multiLevelType w:val="multilevel"/>
    <w:tmpl w:val="12280F9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10"/>
  </w:num>
  <w:num w:numId="3">
    <w:abstractNumId w:val="14"/>
  </w:num>
  <w:num w:numId="4">
    <w:abstractNumId w:val="15"/>
  </w:num>
  <w:num w:numId="5">
    <w:abstractNumId w:val="12"/>
  </w:num>
  <w:num w:numId="6">
    <w:abstractNumId w:val="6"/>
  </w:num>
  <w:num w:numId="7">
    <w:abstractNumId w:val="8"/>
  </w:num>
  <w:num w:numId="8">
    <w:abstractNumId w:val="0"/>
  </w:num>
  <w:num w:numId="9">
    <w:abstractNumId w:val="1"/>
  </w:num>
  <w:num w:numId="10">
    <w:abstractNumId w:val="7"/>
  </w:num>
  <w:num w:numId="11">
    <w:abstractNumId w:val="9"/>
  </w:num>
  <w:num w:numId="12">
    <w:abstractNumId w:val="13"/>
  </w:num>
  <w:num w:numId="13">
    <w:abstractNumId w:val="5"/>
  </w:num>
  <w:num w:numId="14">
    <w:abstractNumId w:val="3"/>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E1D"/>
    <w:rsid w:val="001C7E0A"/>
    <w:rsid w:val="002A24ED"/>
    <w:rsid w:val="00437228"/>
    <w:rsid w:val="00A860FC"/>
    <w:rsid w:val="00BA2097"/>
    <w:rsid w:val="00EE3D2E"/>
    <w:rsid w:val="00FB5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60C7D"/>
  <w15:docId w15:val="{C4B739C8-5D53-49F9-94A5-D1DC6590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E1517"/>
      <w:sz w:val="16"/>
      <w:szCs w:val="16"/>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22"/>
      <w:szCs w:val="22"/>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EF6B82"/>
      <w:sz w:val="18"/>
      <w:szCs w:val="18"/>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20"/>
      <w:szCs w:val="20"/>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8"/>
      <w:szCs w:val="28"/>
      <w:u w:val="none"/>
    </w:rPr>
  </w:style>
  <w:style w:type="paragraph" w:styleId="BodyText">
    <w:name w:val="Body Text"/>
    <w:basedOn w:val="Normal"/>
    <w:link w:val="BodyTextChar"/>
    <w:qFormat/>
    <w:pPr>
      <w:spacing w:line="254" w:lineRule="auto"/>
      <w:ind w:firstLine="400"/>
    </w:pPr>
    <w:rPr>
      <w:rFonts w:ascii="Times New Roman" w:eastAsia="Times New Roman" w:hAnsi="Times New Roman" w:cs="Times New Roman"/>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customStyle="1" w:styleId="Heading21">
    <w:name w:val="Heading #2"/>
    <w:basedOn w:val="Normal"/>
    <w:link w:val="Heading20"/>
    <w:pPr>
      <w:outlineLvl w:val="1"/>
    </w:pPr>
    <w:rPr>
      <w:rFonts w:ascii="Times New Roman" w:eastAsia="Times New Roman" w:hAnsi="Times New Roman" w:cs="Times New Roman"/>
      <w:b/>
      <w:bCs/>
    </w:rPr>
  </w:style>
  <w:style w:type="paragraph" w:customStyle="1" w:styleId="Bodytext30">
    <w:name w:val="Body text (3)"/>
    <w:basedOn w:val="Normal"/>
    <w:link w:val="Bodytext3"/>
    <w:pPr>
      <w:spacing w:line="307" w:lineRule="auto"/>
    </w:pPr>
    <w:rPr>
      <w:rFonts w:ascii="Times New Roman" w:eastAsia="Times New Roman" w:hAnsi="Times New Roman" w:cs="Times New Roman"/>
      <w:color w:val="FE1517"/>
      <w:sz w:val="16"/>
      <w:szCs w:val="16"/>
    </w:rPr>
  </w:style>
  <w:style w:type="paragraph" w:customStyle="1" w:styleId="Tablecaption0">
    <w:name w:val="Table caption"/>
    <w:basedOn w:val="Normal"/>
    <w:link w:val="Tablecaption"/>
    <w:rPr>
      <w:rFonts w:ascii="Times New Roman" w:eastAsia="Times New Roman" w:hAnsi="Times New Roman" w:cs="Times New Roman"/>
      <w:i/>
      <w:iCs/>
    </w:rPr>
  </w:style>
  <w:style w:type="paragraph" w:customStyle="1" w:styleId="Other0">
    <w:name w:val="Other"/>
    <w:basedOn w:val="Normal"/>
    <w:link w:val="Other"/>
    <w:pPr>
      <w:spacing w:line="254" w:lineRule="auto"/>
      <w:ind w:firstLine="400"/>
    </w:pPr>
    <w:rPr>
      <w:rFonts w:ascii="Times New Roman" w:eastAsia="Times New Roman" w:hAnsi="Times New Roman" w:cs="Times New Roman"/>
    </w:rPr>
  </w:style>
  <w:style w:type="paragraph" w:customStyle="1" w:styleId="Bodytext60">
    <w:name w:val="Body text (6)"/>
    <w:basedOn w:val="Normal"/>
    <w:link w:val="Bodytext6"/>
    <w:rPr>
      <w:rFonts w:ascii="Arial" w:eastAsia="Arial" w:hAnsi="Arial" w:cs="Arial"/>
      <w:sz w:val="22"/>
      <w:szCs w:val="22"/>
    </w:rPr>
  </w:style>
  <w:style w:type="paragraph" w:customStyle="1" w:styleId="Bodytext40">
    <w:name w:val="Body text (4)"/>
    <w:basedOn w:val="Normal"/>
    <w:link w:val="Bodytext4"/>
    <w:pPr>
      <w:spacing w:line="283" w:lineRule="auto"/>
    </w:pPr>
    <w:rPr>
      <w:rFonts w:ascii="Arial" w:eastAsia="Arial" w:hAnsi="Arial" w:cs="Arial"/>
      <w:color w:val="EF6B82"/>
      <w:sz w:val="18"/>
      <w:szCs w:val="18"/>
    </w:rPr>
  </w:style>
  <w:style w:type="paragraph" w:customStyle="1" w:styleId="Bodytext50">
    <w:name w:val="Body text (5)"/>
    <w:basedOn w:val="Normal"/>
    <w:link w:val="Bodytext5"/>
    <w:pPr>
      <w:ind w:firstLine="380"/>
    </w:pPr>
    <w:rPr>
      <w:rFonts w:ascii="Times New Roman" w:eastAsia="Times New Roman" w:hAnsi="Times New Roman" w:cs="Times New Roman"/>
      <w:sz w:val="20"/>
      <w:szCs w:val="20"/>
    </w:rPr>
  </w:style>
  <w:style w:type="paragraph" w:customStyle="1" w:styleId="Bodytext20">
    <w:name w:val="Body text (2)"/>
    <w:basedOn w:val="Normal"/>
    <w:link w:val="Bodytext2"/>
    <w:pPr>
      <w:ind w:firstLine="230"/>
      <w:jc w:val="center"/>
    </w:pPr>
    <w:rPr>
      <w:rFonts w:ascii="Times New Roman" w:eastAsia="Times New Roman" w:hAnsi="Times New Roman" w:cs="Times New Roman"/>
      <w:b/>
      <w:bCs/>
      <w:sz w:val="28"/>
      <w:szCs w:val="28"/>
    </w:rPr>
  </w:style>
  <w:style w:type="table" w:styleId="TableGrid">
    <w:name w:val="Table Grid"/>
    <w:basedOn w:val="TableNormal"/>
    <w:uiPriority w:val="39"/>
    <w:rsid w:val="00601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2zQgNUm23RgKNz2TBfR2U/xMxw==">CgMxLjA4AHIhMU1iSGE2bXktSXFYTG9uaFFzLUNhTnRGSi1MLWNORTRK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559</Words>
  <Characters>3089</Characters>
  <Application>Microsoft Office Word</Application>
  <DocSecurity>0</DocSecurity>
  <Lines>75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7</cp:revision>
  <dcterms:created xsi:type="dcterms:W3CDTF">2024-05-03T02:21:00Z</dcterms:created>
  <dcterms:modified xsi:type="dcterms:W3CDTF">2024-05-04T08:15:00Z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66e40bb64a4da26ed55c5f23501253e7a0bb25d8e55fdc34c0ee42954eb34116</vt:lpwstr>
  </property>
</Properties>
</file>