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35EFF" w:rsidRDefault="008E0CEF" w:rsidP="00602539">
      <w:pPr>
        <w:keepNext/>
        <w:pBdr>
          <w:top w:val="nil"/>
          <w:left w:val="nil"/>
          <w:bottom w:val="nil"/>
          <w:right w:val="nil"/>
          <w:between w:val="nil"/>
        </w:pBdr>
        <w:tabs>
          <w:tab w:val="left" w:pos="567"/>
        </w:tabs>
        <w:spacing w:after="120" w:line="360" w:lineRule="auto"/>
        <w:jc w:val="both"/>
        <w:rPr>
          <w:rFonts w:ascii="Arial" w:eastAsia="Arial" w:hAnsi="Arial" w:cs="Arial"/>
          <w:b/>
          <w:color w:val="010000"/>
          <w:sz w:val="20"/>
          <w:szCs w:val="20"/>
        </w:rPr>
      </w:pPr>
      <w:r>
        <w:rPr>
          <w:rFonts w:ascii="Arial" w:hAnsi="Arial"/>
          <w:b/>
          <w:color w:val="010000"/>
          <w:sz w:val="20"/>
        </w:rPr>
        <w:t>APT: Annual General Mandate 2024</w:t>
      </w:r>
    </w:p>
    <w:p w14:paraId="00000002" w14:textId="77777777" w:rsidR="00035EFF" w:rsidRDefault="008E0CEF" w:rsidP="00602539">
      <w:pPr>
        <w:keepNext/>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On April 24, 2024, Saigon Aquatic Products Trading Joint Stock Company announced General Mandate No. 01/NQ-DHDCDTN/2024 as follows:</w:t>
      </w:r>
    </w:p>
    <w:p w14:paraId="00000003" w14:textId="5B2F8100"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Article 1. Approve the summary report of the Board of </w:t>
      </w:r>
      <w:r w:rsidR="00602539">
        <w:rPr>
          <w:rFonts w:ascii="Arial" w:hAnsi="Arial"/>
          <w:color w:val="010000"/>
          <w:sz w:val="20"/>
        </w:rPr>
        <w:t>Directors</w:t>
      </w:r>
      <w:r>
        <w:rPr>
          <w:rFonts w:ascii="Arial" w:hAnsi="Arial"/>
          <w:color w:val="010000"/>
          <w:sz w:val="20"/>
        </w:rPr>
        <w:t xml:space="preserve"> activities in 2023 and the plan for activities in 2024.</w:t>
      </w:r>
    </w:p>
    <w:p w14:paraId="00000005"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Article 2. Approve the Report on production and business activities results of 2023 of the Executive Board and the production and business Plan for 2024.</w:t>
      </w:r>
    </w:p>
    <w:p w14:paraId="00000006"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unanimously approved the Report on production and business results in 2023 and the business plan for 2024, including the following main targets;</w:t>
      </w:r>
    </w:p>
    <w:p w14:paraId="00000007" w14:textId="37D8E3E4"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Results</w:t>
      </w:r>
      <w:r w:rsidR="00EB2060">
        <w:rPr>
          <w:rFonts w:ascii="Arial" w:hAnsi="Arial"/>
          <w:color w:val="010000"/>
          <w:sz w:val="20"/>
        </w:rPr>
        <w:t xml:space="preserve"> 2023</w:t>
      </w:r>
      <w:r>
        <w:rPr>
          <w:rFonts w:ascii="Arial" w:hAnsi="Arial"/>
          <w:color w:val="010000"/>
          <w:sz w:val="20"/>
        </w:rPr>
        <w:t>:</w:t>
      </w:r>
    </w:p>
    <w:p w14:paraId="00000008" w14:textId="77777777" w:rsidR="00035EFF" w:rsidRDefault="008E0CEF" w:rsidP="00602539">
      <w:pPr>
        <w:numPr>
          <w:ilvl w:val="0"/>
          <w:numId w:val="1"/>
        </w:numPr>
        <w:pBdr>
          <w:top w:val="nil"/>
          <w:left w:val="nil"/>
          <w:bottom w:val="nil"/>
          <w:right w:val="nil"/>
          <w:between w:val="nil"/>
        </w:pBdr>
        <w:tabs>
          <w:tab w:val="left" w:pos="567"/>
        </w:tabs>
        <w:spacing w:after="120" w:line="360" w:lineRule="auto"/>
        <w:ind w:left="0" w:firstLine="0"/>
        <w:jc w:val="both"/>
        <w:rPr>
          <w:rFonts w:ascii="Arial" w:eastAsia="Arial" w:hAnsi="Arial" w:cs="Arial"/>
          <w:color w:val="010000"/>
          <w:sz w:val="20"/>
          <w:szCs w:val="20"/>
        </w:rPr>
      </w:pPr>
      <w:r>
        <w:rPr>
          <w:rFonts w:ascii="Arial" w:hAnsi="Arial"/>
          <w:color w:val="010000"/>
          <w:sz w:val="20"/>
        </w:rPr>
        <w:t>Net revenue: VND 246.810 billion</w:t>
      </w:r>
    </w:p>
    <w:p w14:paraId="00000009" w14:textId="77777777" w:rsidR="00035EFF" w:rsidRDefault="008E0CEF" w:rsidP="00602539">
      <w:pPr>
        <w:numPr>
          <w:ilvl w:val="0"/>
          <w:numId w:val="1"/>
        </w:numPr>
        <w:pBdr>
          <w:top w:val="nil"/>
          <w:left w:val="nil"/>
          <w:bottom w:val="nil"/>
          <w:right w:val="nil"/>
          <w:between w:val="nil"/>
        </w:pBdr>
        <w:tabs>
          <w:tab w:val="left" w:pos="567"/>
        </w:tabs>
        <w:spacing w:after="120" w:line="360" w:lineRule="auto"/>
        <w:ind w:left="0" w:firstLine="0"/>
        <w:jc w:val="both"/>
        <w:rPr>
          <w:rFonts w:ascii="Arial" w:eastAsia="Arial" w:hAnsi="Arial" w:cs="Arial"/>
          <w:color w:val="010000"/>
          <w:sz w:val="20"/>
          <w:szCs w:val="20"/>
        </w:rPr>
      </w:pPr>
      <w:r>
        <w:rPr>
          <w:rFonts w:ascii="Arial" w:hAnsi="Arial"/>
          <w:color w:val="010000"/>
          <w:sz w:val="20"/>
        </w:rPr>
        <w:t>Export turnover: USD 6.982 million</w:t>
      </w:r>
    </w:p>
    <w:p w14:paraId="0000000A" w14:textId="77777777" w:rsidR="00035EFF" w:rsidRDefault="008E0CEF" w:rsidP="00602539">
      <w:pPr>
        <w:numPr>
          <w:ilvl w:val="0"/>
          <w:numId w:val="1"/>
        </w:numPr>
        <w:pBdr>
          <w:top w:val="nil"/>
          <w:left w:val="nil"/>
          <w:bottom w:val="nil"/>
          <w:right w:val="nil"/>
          <w:between w:val="nil"/>
        </w:pBdr>
        <w:tabs>
          <w:tab w:val="left" w:pos="567"/>
        </w:tabs>
        <w:spacing w:after="120" w:line="360" w:lineRule="auto"/>
        <w:ind w:left="0" w:firstLine="0"/>
        <w:jc w:val="both"/>
        <w:rPr>
          <w:rFonts w:ascii="Arial" w:eastAsia="Arial" w:hAnsi="Arial" w:cs="Arial"/>
          <w:color w:val="010000"/>
          <w:sz w:val="20"/>
          <w:szCs w:val="20"/>
        </w:rPr>
      </w:pPr>
      <w:r>
        <w:rPr>
          <w:rFonts w:ascii="Arial" w:hAnsi="Arial"/>
          <w:color w:val="010000"/>
          <w:sz w:val="20"/>
        </w:rPr>
        <w:t>Profit: VND 6.073 billion</w:t>
      </w:r>
    </w:p>
    <w:p w14:paraId="0000000B"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(The profit target is net from business operations, excluding the provision for previous years' errors, interest payments to </w:t>
      </w:r>
      <w:proofErr w:type="spellStart"/>
      <w:r>
        <w:rPr>
          <w:rFonts w:ascii="Arial" w:hAnsi="Arial"/>
          <w:color w:val="010000"/>
          <w:sz w:val="20"/>
        </w:rPr>
        <w:t>Sacombank</w:t>
      </w:r>
      <w:proofErr w:type="spellEnd"/>
      <w:r>
        <w:rPr>
          <w:rFonts w:ascii="Arial" w:hAnsi="Arial"/>
          <w:color w:val="010000"/>
          <w:sz w:val="20"/>
        </w:rPr>
        <w:t>, and provisions and settlements (if any)).</w:t>
      </w:r>
    </w:p>
    <w:p w14:paraId="0000000C" w14:textId="77777777" w:rsidR="00035EFF" w:rsidRDefault="008E0CEF" w:rsidP="00602539">
      <w:pPr>
        <w:numPr>
          <w:ilvl w:val="0"/>
          <w:numId w:val="2"/>
        </w:numPr>
        <w:pBdr>
          <w:top w:val="nil"/>
          <w:left w:val="nil"/>
          <w:bottom w:val="nil"/>
          <w:right w:val="nil"/>
          <w:between w:val="nil"/>
        </w:pBdr>
        <w:tabs>
          <w:tab w:val="left" w:pos="567"/>
          <w:tab w:val="left" w:pos="4395"/>
        </w:tabs>
        <w:spacing w:after="120" w:line="360" w:lineRule="auto"/>
        <w:ind w:left="0" w:firstLine="0"/>
        <w:jc w:val="both"/>
        <w:rPr>
          <w:rFonts w:ascii="Arial" w:eastAsia="Arial" w:hAnsi="Arial" w:cs="Arial"/>
          <w:color w:val="010000"/>
          <w:sz w:val="20"/>
          <w:szCs w:val="20"/>
        </w:rPr>
      </w:pPr>
      <w:r>
        <w:rPr>
          <w:rFonts w:ascii="Arial" w:hAnsi="Arial"/>
          <w:color w:val="010000"/>
          <w:sz w:val="20"/>
        </w:rPr>
        <w:t>Accumulated loss: VND 1,354.5 billion.</w:t>
      </w:r>
    </w:p>
    <w:p w14:paraId="0000000D"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(Losses from old debts, expenses arising from differences in gold exchange rates, interest payments </w:t>
      </w:r>
      <w:proofErr w:type="gramStart"/>
      <w:r>
        <w:rPr>
          <w:rFonts w:ascii="Arial" w:hAnsi="Arial"/>
          <w:color w:val="010000"/>
          <w:sz w:val="20"/>
        </w:rPr>
        <w:t>to</w:t>
      </w:r>
      <w:proofErr w:type="gramEnd"/>
      <w:r>
        <w:rPr>
          <w:rFonts w:ascii="Arial" w:hAnsi="Arial"/>
          <w:color w:val="010000"/>
          <w:sz w:val="20"/>
        </w:rPr>
        <w:t xml:space="preserve"> </w:t>
      </w:r>
      <w:proofErr w:type="spellStart"/>
      <w:r>
        <w:rPr>
          <w:rFonts w:ascii="Arial" w:hAnsi="Arial"/>
          <w:color w:val="010000"/>
          <w:sz w:val="20"/>
        </w:rPr>
        <w:t>Sacombank</w:t>
      </w:r>
      <w:proofErr w:type="spellEnd"/>
      <w:r>
        <w:rPr>
          <w:rFonts w:ascii="Arial" w:hAnsi="Arial"/>
          <w:color w:val="010000"/>
          <w:sz w:val="20"/>
        </w:rPr>
        <w:t>, and provisions and reversals).</w:t>
      </w:r>
    </w:p>
    <w:p w14:paraId="0000000E" w14:textId="77777777" w:rsidR="00035EFF" w:rsidRDefault="008E0CEF" w:rsidP="00602539">
      <w:pPr>
        <w:numPr>
          <w:ilvl w:val="0"/>
          <w:numId w:val="3"/>
        </w:numPr>
        <w:pBdr>
          <w:top w:val="nil"/>
          <w:left w:val="nil"/>
          <w:bottom w:val="nil"/>
          <w:right w:val="nil"/>
          <w:between w:val="nil"/>
        </w:pBdr>
        <w:tabs>
          <w:tab w:val="left" w:pos="567"/>
        </w:tabs>
        <w:spacing w:after="120" w:line="360" w:lineRule="auto"/>
        <w:ind w:left="0" w:firstLine="0"/>
        <w:jc w:val="both"/>
        <w:rPr>
          <w:rFonts w:ascii="Arial" w:eastAsia="Arial" w:hAnsi="Arial" w:cs="Arial"/>
          <w:color w:val="010000"/>
          <w:sz w:val="20"/>
          <w:szCs w:val="20"/>
        </w:rPr>
      </w:pPr>
      <w:r>
        <w:rPr>
          <w:rFonts w:ascii="Arial" w:hAnsi="Arial"/>
          <w:color w:val="010000"/>
          <w:sz w:val="20"/>
        </w:rPr>
        <w:t>Plan 2024:</w:t>
      </w:r>
    </w:p>
    <w:p w14:paraId="0000000F" w14:textId="77777777" w:rsidR="00035EFF" w:rsidRDefault="008E0CEF" w:rsidP="00602539">
      <w:pPr>
        <w:numPr>
          <w:ilvl w:val="0"/>
          <w:numId w:val="4"/>
        </w:numPr>
        <w:pBdr>
          <w:top w:val="nil"/>
          <w:left w:val="nil"/>
          <w:bottom w:val="nil"/>
          <w:right w:val="nil"/>
          <w:between w:val="nil"/>
        </w:pBdr>
        <w:tabs>
          <w:tab w:val="left" w:pos="567"/>
          <w:tab w:val="left" w:pos="4395"/>
        </w:tabs>
        <w:spacing w:after="120" w:line="360" w:lineRule="auto"/>
        <w:ind w:left="0" w:firstLine="0"/>
        <w:jc w:val="both"/>
        <w:rPr>
          <w:rFonts w:ascii="Arial" w:eastAsia="Arial" w:hAnsi="Arial" w:cs="Arial"/>
          <w:color w:val="010000"/>
          <w:sz w:val="20"/>
          <w:szCs w:val="20"/>
        </w:rPr>
      </w:pPr>
      <w:r>
        <w:rPr>
          <w:rFonts w:ascii="Arial" w:hAnsi="Arial"/>
          <w:color w:val="010000"/>
          <w:sz w:val="20"/>
        </w:rPr>
        <w:t>Total revenue: VND 315 billion</w:t>
      </w:r>
    </w:p>
    <w:p w14:paraId="00000010" w14:textId="77777777" w:rsidR="00035EFF" w:rsidRDefault="008E0CEF" w:rsidP="00602539">
      <w:pPr>
        <w:numPr>
          <w:ilvl w:val="0"/>
          <w:numId w:val="4"/>
        </w:numPr>
        <w:pBdr>
          <w:top w:val="nil"/>
          <w:left w:val="nil"/>
          <w:bottom w:val="nil"/>
          <w:right w:val="nil"/>
          <w:between w:val="nil"/>
        </w:pBdr>
        <w:tabs>
          <w:tab w:val="left" w:pos="567"/>
          <w:tab w:val="right" w:pos="5708"/>
        </w:tabs>
        <w:spacing w:after="120" w:line="360" w:lineRule="auto"/>
        <w:ind w:left="0" w:firstLine="0"/>
        <w:jc w:val="both"/>
        <w:rPr>
          <w:rFonts w:ascii="Arial" w:eastAsia="Arial" w:hAnsi="Arial" w:cs="Arial"/>
          <w:color w:val="010000"/>
          <w:sz w:val="20"/>
          <w:szCs w:val="20"/>
        </w:rPr>
      </w:pPr>
      <w:r>
        <w:rPr>
          <w:rFonts w:ascii="Arial" w:hAnsi="Arial"/>
          <w:color w:val="010000"/>
          <w:sz w:val="20"/>
        </w:rPr>
        <w:t>Net revenue: VND 264 billion</w:t>
      </w:r>
    </w:p>
    <w:p w14:paraId="00000011" w14:textId="77777777" w:rsidR="00035EFF" w:rsidRDefault="008E0CEF" w:rsidP="00602539">
      <w:pPr>
        <w:numPr>
          <w:ilvl w:val="0"/>
          <w:numId w:val="4"/>
        </w:numPr>
        <w:pBdr>
          <w:top w:val="nil"/>
          <w:left w:val="nil"/>
          <w:bottom w:val="nil"/>
          <w:right w:val="nil"/>
          <w:between w:val="nil"/>
        </w:pBdr>
        <w:tabs>
          <w:tab w:val="left" w:pos="567"/>
          <w:tab w:val="right" w:pos="5950"/>
        </w:tabs>
        <w:spacing w:after="120" w:line="360" w:lineRule="auto"/>
        <w:ind w:left="0" w:firstLine="0"/>
        <w:jc w:val="both"/>
        <w:rPr>
          <w:rFonts w:ascii="Arial" w:eastAsia="Arial" w:hAnsi="Arial" w:cs="Arial"/>
          <w:color w:val="010000"/>
          <w:sz w:val="20"/>
          <w:szCs w:val="20"/>
        </w:rPr>
      </w:pPr>
      <w:r>
        <w:rPr>
          <w:rFonts w:ascii="Arial" w:hAnsi="Arial"/>
          <w:color w:val="010000"/>
          <w:sz w:val="20"/>
        </w:rPr>
        <w:t>Export turnover: USD 7.5 million</w:t>
      </w:r>
    </w:p>
    <w:p w14:paraId="00000012" w14:textId="77777777" w:rsidR="00035EFF" w:rsidRDefault="008E0CEF" w:rsidP="00602539">
      <w:pPr>
        <w:numPr>
          <w:ilvl w:val="0"/>
          <w:numId w:val="4"/>
        </w:numPr>
        <w:pBdr>
          <w:top w:val="nil"/>
          <w:left w:val="nil"/>
          <w:bottom w:val="nil"/>
          <w:right w:val="nil"/>
          <w:between w:val="nil"/>
        </w:pBdr>
        <w:tabs>
          <w:tab w:val="left" w:pos="567"/>
          <w:tab w:val="right" w:pos="5708"/>
        </w:tabs>
        <w:spacing w:after="120" w:line="360" w:lineRule="auto"/>
        <w:ind w:left="0" w:firstLine="0"/>
        <w:jc w:val="both"/>
        <w:rPr>
          <w:rFonts w:ascii="Arial" w:eastAsia="Arial" w:hAnsi="Arial" w:cs="Arial"/>
          <w:color w:val="010000"/>
          <w:sz w:val="20"/>
          <w:szCs w:val="20"/>
        </w:rPr>
      </w:pPr>
      <w:r>
        <w:rPr>
          <w:rFonts w:ascii="Arial" w:hAnsi="Arial"/>
          <w:color w:val="010000"/>
          <w:sz w:val="20"/>
        </w:rPr>
        <w:t>Profit after tax: VND 6.4 billion</w:t>
      </w:r>
    </w:p>
    <w:p w14:paraId="00000013" w14:textId="16AB6B09"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(The profit target is net from business operations, excluding the provision for previous years' errors, interest payments to </w:t>
      </w:r>
      <w:proofErr w:type="spellStart"/>
      <w:r>
        <w:rPr>
          <w:rFonts w:ascii="Arial" w:hAnsi="Arial"/>
          <w:color w:val="010000"/>
          <w:sz w:val="20"/>
        </w:rPr>
        <w:t>Sacombank</w:t>
      </w:r>
      <w:proofErr w:type="spellEnd"/>
      <w:r>
        <w:rPr>
          <w:rFonts w:ascii="Arial" w:hAnsi="Arial"/>
          <w:color w:val="010000"/>
          <w:sz w:val="20"/>
        </w:rPr>
        <w:t>, and provisions and settlements (if any)).</w:t>
      </w:r>
    </w:p>
    <w:p w14:paraId="00000014" w14:textId="4112C23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Based on the actual business operations, the General Meeting of Shareholders </w:t>
      </w:r>
      <w:r w:rsidR="00602539">
        <w:rPr>
          <w:rFonts w:ascii="Arial" w:hAnsi="Arial"/>
          <w:color w:val="010000"/>
          <w:sz w:val="20"/>
        </w:rPr>
        <w:t>authorizes</w:t>
      </w:r>
      <w:r>
        <w:rPr>
          <w:rFonts w:ascii="Arial" w:hAnsi="Arial"/>
          <w:color w:val="010000"/>
          <w:sz w:val="20"/>
        </w:rPr>
        <w:t xml:space="preserve"> the Board of Directors of the Company to review and adjust the planned targets accordingly.</w:t>
      </w:r>
    </w:p>
    <w:p w14:paraId="00000015" w14:textId="77777777" w:rsidR="00035EFF" w:rsidRDefault="008E0CEF" w:rsidP="00602539">
      <w:pPr>
        <w:keepNext/>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Article 3. Approve the Report on activities of the Supervisory Board in 2023 and the operational plan in 2024.</w:t>
      </w:r>
    </w:p>
    <w:p w14:paraId="00000016"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The General Meeting approves the Report on activities of the Supervisory Board in 2023 and the operational plan for 2024.</w:t>
      </w:r>
    </w:p>
    <w:p w14:paraId="00000017" w14:textId="77777777" w:rsidR="00035EFF" w:rsidRDefault="008E0CEF" w:rsidP="00602539">
      <w:pPr>
        <w:keepNext/>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Article 4. Approve the Proposal on the selection of an audit company for the Financial Statements 2023.</w:t>
      </w:r>
    </w:p>
    <w:p w14:paraId="00000018"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The General Meeting has agreed with the proposal of the Supervisory Board regarding the list of audit </w:t>
      </w:r>
      <w:r>
        <w:rPr>
          <w:rFonts w:ascii="Arial" w:hAnsi="Arial"/>
          <w:color w:val="010000"/>
          <w:sz w:val="20"/>
        </w:rPr>
        <w:lastRenderedPageBreak/>
        <w:t>companies for Financial Statements, which includes:</w:t>
      </w:r>
    </w:p>
    <w:p w14:paraId="00000019" w14:textId="77777777" w:rsidR="00035EFF" w:rsidRDefault="008E0CEF" w:rsidP="00602539">
      <w:pPr>
        <w:numPr>
          <w:ilvl w:val="1"/>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color w:val="010000"/>
          <w:sz w:val="20"/>
          <w:szCs w:val="20"/>
        </w:rPr>
      </w:pPr>
      <w:r>
        <w:rPr>
          <w:rFonts w:ascii="Arial" w:hAnsi="Arial"/>
          <w:color w:val="010000"/>
          <w:sz w:val="20"/>
        </w:rPr>
        <w:t>AASC Auditing Firm Company Limited;</w:t>
      </w:r>
    </w:p>
    <w:p w14:paraId="0000001A" w14:textId="77777777" w:rsidR="00035EFF" w:rsidRDefault="008E0CEF" w:rsidP="00602539">
      <w:pPr>
        <w:numPr>
          <w:ilvl w:val="1"/>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color w:val="010000"/>
          <w:sz w:val="20"/>
          <w:szCs w:val="20"/>
        </w:rPr>
      </w:pPr>
      <w:r>
        <w:rPr>
          <w:rFonts w:ascii="Arial" w:hAnsi="Arial"/>
          <w:color w:val="010000"/>
          <w:sz w:val="20"/>
        </w:rPr>
        <w:t>PWC (Vietnam) Limited;</w:t>
      </w:r>
    </w:p>
    <w:p w14:paraId="0000001B" w14:textId="77777777" w:rsidR="00035EFF" w:rsidRDefault="008E0CEF" w:rsidP="00602539">
      <w:pPr>
        <w:numPr>
          <w:ilvl w:val="1"/>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color w:val="010000"/>
          <w:sz w:val="20"/>
          <w:szCs w:val="20"/>
        </w:rPr>
      </w:pPr>
      <w:r>
        <w:rPr>
          <w:rFonts w:ascii="Arial" w:hAnsi="Arial"/>
          <w:color w:val="010000"/>
          <w:sz w:val="20"/>
        </w:rPr>
        <w:t>A&amp;C Auditing and Consulting Company Limited;</w:t>
      </w:r>
    </w:p>
    <w:p w14:paraId="0000001C" w14:textId="77777777" w:rsidR="00035EFF" w:rsidRDefault="008E0CEF" w:rsidP="00602539">
      <w:pPr>
        <w:numPr>
          <w:ilvl w:val="1"/>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color w:val="010000"/>
          <w:sz w:val="20"/>
          <w:szCs w:val="20"/>
        </w:rPr>
      </w:pPr>
      <w:r>
        <w:rPr>
          <w:rFonts w:ascii="Arial" w:hAnsi="Arial"/>
          <w:color w:val="010000"/>
          <w:sz w:val="20"/>
        </w:rPr>
        <w:t xml:space="preserve"> Auditing and </w:t>
      </w:r>
      <w:proofErr w:type="spellStart"/>
      <w:r>
        <w:rPr>
          <w:rFonts w:ascii="Arial" w:hAnsi="Arial"/>
          <w:color w:val="010000"/>
          <w:sz w:val="20"/>
        </w:rPr>
        <w:t>Informatic</w:t>
      </w:r>
      <w:proofErr w:type="spellEnd"/>
      <w:r>
        <w:rPr>
          <w:rFonts w:ascii="Arial" w:hAnsi="Arial"/>
          <w:color w:val="010000"/>
          <w:sz w:val="20"/>
        </w:rPr>
        <w:t xml:space="preserve"> Services Company Limited (AISC);</w:t>
      </w:r>
    </w:p>
    <w:p w14:paraId="0000001D" w14:textId="77777777" w:rsidR="00035EFF" w:rsidRDefault="008E0CEF" w:rsidP="00602539">
      <w:pPr>
        <w:numPr>
          <w:ilvl w:val="1"/>
          <w:numId w:val="5"/>
        </w:numPr>
        <w:pBdr>
          <w:top w:val="nil"/>
          <w:left w:val="nil"/>
          <w:bottom w:val="nil"/>
          <w:right w:val="nil"/>
          <w:between w:val="nil"/>
        </w:pBdr>
        <w:tabs>
          <w:tab w:val="left" w:pos="567"/>
        </w:tabs>
        <w:spacing w:after="120" w:line="360" w:lineRule="auto"/>
        <w:ind w:left="0" w:firstLine="0"/>
        <w:jc w:val="both"/>
        <w:rPr>
          <w:rFonts w:ascii="Arial" w:eastAsia="Arial" w:hAnsi="Arial" w:cs="Arial"/>
          <w:color w:val="010000"/>
          <w:sz w:val="20"/>
          <w:szCs w:val="20"/>
        </w:rPr>
      </w:pPr>
      <w:r>
        <w:rPr>
          <w:rFonts w:ascii="Arial" w:hAnsi="Arial"/>
          <w:color w:val="010000"/>
          <w:sz w:val="20"/>
        </w:rPr>
        <w:t>Southern Auditing and Accounting Financial Consulting Services Company Limited</w:t>
      </w:r>
    </w:p>
    <w:p w14:paraId="0000001E" w14:textId="2DFE5B0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agrees to authorize the Board of Directors of the Company to choose one of the five audit companies from the list above to audit and review the Financial Statements 2024 of Saigon Aquatic Products Trading Joint Stock Company. In case the above-mentioned audit firms do not conduct the audit, the General Meeting of Shareholders agrees to authorize the Board of Directors to approve the selection of an audit company from the list of audit companies</w:t>
      </w:r>
      <w:r w:rsidR="00602539">
        <w:rPr>
          <w:rFonts w:ascii="Arial" w:hAnsi="Arial"/>
          <w:color w:val="010000"/>
          <w:sz w:val="20"/>
        </w:rPr>
        <w:t xml:space="preserve"> </w:t>
      </w:r>
      <w:r>
        <w:rPr>
          <w:rFonts w:ascii="Arial" w:hAnsi="Arial"/>
          <w:color w:val="010000"/>
          <w:sz w:val="20"/>
        </w:rPr>
        <w:t xml:space="preserve">approved by the State Securities Commission and to authorize the General Manager to sign the audit service contract with the audit company selected by the Board of Directors </w:t>
      </w:r>
      <w:r w:rsidR="00602539">
        <w:rPr>
          <w:rFonts w:ascii="Arial" w:hAnsi="Arial"/>
          <w:color w:val="010000"/>
          <w:sz w:val="20"/>
        </w:rPr>
        <w:t>following</w:t>
      </w:r>
      <w:r>
        <w:rPr>
          <w:rFonts w:ascii="Arial" w:hAnsi="Arial"/>
          <w:color w:val="010000"/>
          <w:sz w:val="20"/>
        </w:rPr>
        <w:t xml:space="preserve"> the law.</w:t>
      </w:r>
    </w:p>
    <w:p w14:paraId="0000001F" w14:textId="77777777" w:rsidR="00035EFF" w:rsidRDefault="008E0CEF" w:rsidP="00602539">
      <w:pPr>
        <w:pBdr>
          <w:top w:val="nil"/>
          <w:left w:val="nil"/>
          <w:bottom w:val="nil"/>
          <w:right w:val="nil"/>
          <w:between w:val="nil"/>
        </w:pBdr>
        <w:tabs>
          <w:tab w:val="left" w:pos="567"/>
          <w:tab w:val="left" w:pos="792"/>
        </w:tabs>
        <w:spacing w:after="120" w:line="360" w:lineRule="auto"/>
        <w:jc w:val="both"/>
        <w:rPr>
          <w:rFonts w:ascii="Arial" w:eastAsia="Arial" w:hAnsi="Arial" w:cs="Arial"/>
          <w:color w:val="010000"/>
          <w:sz w:val="20"/>
          <w:szCs w:val="20"/>
        </w:rPr>
      </w:pPr>
      <w:r>
        <w:rPr>
          <w:rFonts w:ascii="Arial" w:hAnsi="Arial"/>
          <w:color w:val="010000"/>
          <w:sz w:val="20"/>
        </w:rPr>
        <w:t>Article 5. Approve the Audited Summary Financial Statements 2023</w:t>
      </w:r>
    </w:p>
    <w:p w14:paraId="00000020"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The Meeting approves the Financial Statements 2023 audited by AASC Auditing Firm Company Limited.</w:t>
      </w:r>
    </w:p>
    <w:p w14:paraId="00000021"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Article 6. Approve the Comprehensive Report on the Implementation Status of the Transformation Settlement of State-Owned Enterprises into Joint Stock Companies.</w:t>
      </w:r>
    </w:p>
    <w:p w14:paraId="00000022"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The General Meeting approves the Comprehensive Report on the Implementation Status of the Transformation Settlement of State-Owned Enterprises into Joint Stock Companies.</w:t>
      </w:r>
    </w:p>
    <w:p w14:paraId="00000023" w14:textId="77777777" w:rsidR="00035EFF" w:rsidRDefault="008E0CEF" w:rsidP="00602539">
      <w:pPr>
        <w:keepNext/>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Article 7. Approve the Report on the Capital Contribution and Activities of </w:t>
      </w:r>
      <w:proofErr w:type="spellStart"/>
      <w:r>
        <w:rPr>
          <w:rFonts w:ascii="Arial" w:hAnsi="Arial"/>
          <w:color w:val="010000"/>
          <w:sz w:val="20"/>
        </w:rPr>
        <w:t>Somo</w:t>
      </w:r>
      <w:proofErr w:type="spellEnd"/>
      <w:r>
        <w:rPr>
          <w:rFonts w:ascii="Arial" w:hAnsi="Arial"/>
          <w:color w:val="010000"/>
          <w:sz w:val="20"/>
        </w:rPr>
        <w:t xml:space="preserve"> Farm </w:t>
      </w:r>
      <w:proofErr w:type="spellStart"/>
      <w:r>
        <w:rPr>
          <w:rFonts w:ascii="Arial" w:hAnsi="Arial"/>
          <w:color w:val="010000"/>
          <w:sz w:val="20"/>
        </w:rPr>
        <w:t>TTan</w:t>
      </w:r>
      <w:proofErr w:type="spellEnd"/>
      <w:r>
        <w:rPr>
          <w:rFonts w:ascii="Arial" w:hAnsi="Arial"/>
          <w:color w:val="010000"/>
          <w:sz w:val="20"/>
        </w:rPr>
        <w:t xml:space="preserve"> Bien Pig Breeding and Farming Company Limited</w:t>
      </w:r>
    </w:p>
    <w:p w14:paraId="00000024"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The General Meeting approves the Report on the Capital Contribution and Activities of </w:t>
      </w:r>
      <w:proofErr w:type="spellStart"/>
      <w:r>
        <w:rPr>
          <w:rFonts w:ascii="Arial" w:hAnsi="Arial"/>
          <w:color w:val="010000"/>
          <w:sz w:val="20"/>
        </w:rPr>
        <w:t>Somo</w:t>
      </w:r>
      <w:proofErr w:type="spellEnd"/>
      <w:r>
        <w:rPr>
          <w:rFonts w:ascii="Arial" w:hAnsi="Arial"/>
          <w:color w:val="010000"/>
          <w:sz w:val="20"/>
        </w:rPr>
        <w:t xml:space="preserve"> Farm Tan Bien Pig Breeding and Farming Company Limited.</w:t>
      </w:r>
    </w:p>
    <w:p w14:paraId="00000025"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Article 8. Approve the Proposal on delegating authority to the Boa</w:t>
      </w:r>
      <w:bookmarkStart w:id="0" w:name="_GoBack"/>
      <w:bookmarkEnd w:id="0"/>
      <w:r>
        <w:rPr>
          <w:rFonts w:ascii="Arial" w:hAnsi="Arial"/>
          <w:color w:val="010000"/>
          <w:sz w:val="20"/>
        </w:rPr>
        <w:t xml:space="preserve">rd of Directors, on behalf of the General Meeting of Shareholders, to decide on matters within the authority of the General Meeting of Shareholders to seek and implement solutions to address debts to </w:t>
      </w:r>
      <w:proofErr w:type="spellStart"/>
      <w:r>
        <w:rPr>
          <w:rFonts w:ascii="Arial" w:hAnsi="Arial"/>
          <w:color w:val="010000"/>
          <w:sz w:val="20"/>
        </w:rPr>
        <w:t>Sacombank</w:t>
      </w:r>
      <w:proofErr w:type="spellEnd"/>
      <w:r>
        <w:rPr>
          <w:rFonts w:ascii="Arial" w:hAnsi="Arial"/>
          <w:color w:val="010000"/>
          <w:sz w:val="20"/>
        </w:rPr>
        <w:t>, restructure the Company, and authorize the Chair of the Board of Directors to sign and issue according to legal regulations.</w:t>
      </w:r>
    </w:p>
    <w:p w14:paraId="00000026"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The General Meeting approves the Proposal on delegating authority to the Board of Directors, on behalf of the General Meeting of Shareholders, to decide on matters within the authority of the General Meeting of Shareholders to seek and implement solutions to address debts to </w:t>
      </w:r>
      <w:proofErr w:type="spellStart"/>
      <w:r>
        <w:rPr>
          <w:rFonts w:ascii="Arial" w:hAnsi="Arial"/>
          <w:color w:val="010000"/>
          <w:sz w:val="20"/>
        </w:rPr>
        <w:t>Sacombank</w:t>
      </w:r>
      <w:proofErr w:type="spellEnd"/>
      <w:r>
        <w:rPr>
          <w:rFonts w:ascii="Arial" w:hAnsi="Arial"/>
          <w:color w:val="010000"/>
          <w:sz w:val="20"/>
        </w:rPr>
        <w:t>, restructure the Company, and authorize the Chair of the Board of Directors to sign and issue according to legal regulations.</w:t>
      </w:r>
    </w:p>
    <w:p w14:paraId="00000027"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 xml:space="preserve">‎‎Article 9. Approve the Proposal on implementing the State Audit's recommendation regarding the </w:t>
      </w:r>
      <w:r>
        <w:rPr>
          <w:rFonts w:ascii="Arial" w:hAnsi="Arial"/>
          <w:color w:val="010000"/>
          <w:sz w:val="20"/>
        </w:rPr>
        <w:lastRenderedPageBreak/>
        <w:t>adjustment of accounting records and Financial Statements based on the audit results of the State Audit.</w:t>
      </w:r>
    </w:p>
    <w:p w14:paraId="00000028" w14:textId="77777777"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has voted to approve the recommendations in the Proposal on implementing the State Audit's recommendation regarding the adjustment of accounting records and Financial Statements based on the audit results of the State Audit.</w:t>
      </w:r>
    </w:p>
    <w:p w14:paraId="00000029" w14:textId="7EE569A7" w:rsidR="00035EFF" w:rsidRDefault="008E0CEF" w:rsidP="00602539">
      <w:pPr>
        <w:keepNext/>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Article 10. This General Mandate t</w:t>
      </w:r>
      <w:r w:rsidR="00EB2060">
        <w:rPr>
          <w:rFonts w:ascii="Arial" w:hAnsi="Arial"/>
          <w:color w:val="010000"/>
          <w:sz w:val="20"/>
        </w:rPr>
        <w:t>akes</w:t>
      </w:r>
      <w:r>
        <w:rPr>
          <w:rFonts w:ascii="Arial" w:hAnsi="Arial"/>
          <w:color w:val="010000"/>
          <w:sz w:val="20"/>
        </w:rPr>
        <w:t xml:space="preserve"> effect from April 24, 2024</w:t>
      </w:r>
    </w:p>
    <w:p w14:paraId="0000002A" w14:textId="3867C8F3" w:rsidR="00035EFF" w:rsidRDefault="008E0CEF" w:rsidP="00602539">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Pr>
          <w:rFonts w:ascii="Arial" w:hAnsi="Arial"/>
          <w:color w:val="010000"/>
          <w:sz w:val="20"/>
        </w:rPr>
        <w:t>All shareholders of Saigon Aquatic Products Trading Joint Stock Company, members of the Board of Directors, members of the Supervisory Board, the Executive Board, and all employees of the company are responsible for implementing this General Mandate.</w:t>
      </w:r>
    </w:p>
    <w:sectPr w:rsidR="00035EFF">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Aptos Display">
    <w:panose1 w:val="00000000000000000000"/>
    <w:charset w:val="00"/>
    <w:family w:val="roman"/>
    <w:notTrueType/>
    <w:pitch w:val="default"/>
  </w:font>
  <w:font w:name="等线">
    <w:panose1 w:val="00000000000000000000"/>
    <w:charset w:val="8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F95EAC"/>
    <w:multiLevelType w:val="multilevel"/>
    <w:tmpl w:val="7CB47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E485BA5"/>
    <w:multiLevelType w:val="multilevel"/>
    <w:tmpl w:val="47F86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D363508"/>
    <w:multiLevelType w:val="multilevel"/>
    <w:tmpl w:val="44DC2E64"/>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8501165"/>
    <w:multiLevelType w:val="multilevel"/>
    <w:tmpl w:val="0526E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B997420"/>
    <w:multiLevelType w:val="multilevel"/>
    <w:tmpl w:val="92EAB2EC"/>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FF"/>
    <w:rsid w:val="00035EFF"/>
    <w:rsid w:val="00602539"/>
    <w:rsid w:val="007E2613"/>
    <w:rsid w:val="008E0CEF"/>
    <w:rsid w:val="00EB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04217"/>
  <w15:docId w15:val="{0EB9DB98-09A7-4909-A61C-D3DEF7DF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B1B1B"/>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color w:val="1B1B1B"/>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CE386B"/>
      <w:sz w:val="18"/>
      <w:szCs w:val="1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color w:val="1B1B1B"/>
      <w:sz w:val="30"/>
      <w:szCs w:val="3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1B1B1B"/>
      <w:sz w:val="22"/>
      <w:szCs w:val="22"/>
      <w:u w:val="none"/>
      <w:shd w:val="clear" w:color="auto" w:fill="auto"/>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color w:val="1B1B1B"/>
    </w:rPr>
  </w:style>
  <w:style w:type="paragraph" w:customStyle="1" w:styleId="Tiu30">
    <w:name w:val="Tiêu đề #3"/>
    <w:basedOn w:val="Normal"/>
    <w:link w:val="Tiu3"/>
    <w:pPr>
      <w:spacing w:after="100"/>
      <w:outlineLvl w:val="2"/>
    </w:pPr>
    <w:rPr>
      <w:rFonts w:ascii="Times New Roman" w:eastAsia="Times New Roman" w:hAnsi="Times New Roman" w:cs="Times New Roman"/>
      <w:b/>
      <w:bCs/>
      <w:color w:val="1B1B1B"/>
    </w:rPr>
  </w:style>
  <w:style w:type="paragraph" w:customStyle="1" w:styleId="Vnbnnidung30">
    <w:name w:val="Văn bản nội dung (3)"/>
    <w:basedOn w:val="Normal"/>
    <w:link w:val="Vnbnnidung3"/>
    <w:pPr>
      <w:spacing w:after="50" w:line="262" w:lineRule="auto"/>
    </w:pPr>
    <w:rPr>
      <w:rFonts w:ascii="Arial" w:eastAsia="Arial" w:hAnsi="Arial" w:cs="Arial"/>
      <w:b/>
      <w:bCs/>
      <w:color w:val="CE386B"/>
      <w:sz w:val="18"/>
      <w:szCs w:val="18"/>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2"/>
      <w:szCs w:val="32"/>
    </w:rPr>
  </w:style>
  <w:style w:type="paragraph" w:customStyle="1" w:styleId="Tiu20">
    <w:name w:val="Tiêu đề #2"/>
    <w:basedOn w:val="Normal"/>
    <w:link w:val="Tiu2"/>
    <w:pPr>
      <w:spacing w:after="80"/>
      <w:jc w:val="center"/>
      <w:outlineLvl w:val="1"/>
    </w:pPr>
    <w:rPr>
      <w:rFonts w:ascii="Times New Roman" w:eastAsia="Times New Roman" w:hAnsi="Times New Roman" w:cs="Times New Roman"/>
      <w:b/>
      <w:bCs/>
      <w:color w:val="1B1B1B"/>
      <w:sz w:val="30"/>
      <w:szCs w:val="30"/>
    </w:rPr>
  </w:style>
  <w:style w:type="paragraph" w:customStyle="1" w:styleId="Vnbnnidung20">
    <w:name w:val="Văn bản nội dung (2)"/>
    <w:basedOn w:val="Normal"/>
    <w:link w:val="Vnbnnidung2"/>
    <w:rPr>
      <w:rFonts w:ascii="Times New Roman" w:eastAsia="Times New Roman" w:hAnsi="Times New Roman" w:cs="Times New Roman"/>
      <w:color w:val="1B1B1B"/>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0TDTuIP7Hx4oAtKELtiPYIVq8A==">CgMxLjA4AHIhMUlLUXZKekFHXzVMOG9oLTFjUzVkdktiVmMzd1oxRWlN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826</Words>
  <Characters>4570</Characters>
  <Application>Microsoft Office Word</Application>
  <DocSecurity>0</DocSecurity>
  <Lines>79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2024-04-29T09:15:00Z</dcterms:created>
  <dcterms:modified xsi:type="dcterms:W3CDTF">2024-05-03T03:59:00Z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237e565f672f1bbe7cb48d8d4e6822dce53f9a85e42c199aff8d0f2be1e38813</vt:lpwstr>
  </property>
</Properties>
</file>