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5BDA"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Pr>
          <w:rFonts w:ascii="Arial" w:hAnsi="Arial"/>
          <w:b/>
          <w:color w:val="010000"/>
          <w:sz w:val="20"/>
        </w:rPr>
        <w:t>BAL: Annual General Mandate 2024</w:t>
      </w:r>
    </w:p>
    <w:p w14:paraId="526DAC3C"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On April 23, 2024, Beer - Alcohol - Beverage Packaging Joint Stock Company announced General Mandate No. 61/NQ-DHDCD as follows:</w:t>
      </w:r>
    </w:p>
    <w:p w14:paraId="5475652B"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 Approve the following reports:</w:t>
      </w:r>
    </w:p>
    <w:p w14:paraId="36B707A0" w14:textId="77777777" w:rsidR="005E5BAA" w:rsidRDefault="001D6161">
      <w:pPr>
        <w:numPr>
          <w:ilvl w:val="0"/>
          <w:numId w:val="3"/>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Pr>
          <w:rFonts w:ascii="Arial" w:hAnsi="Arial"/>
          <w:color w:val="010000"/>
          <w:sz w:val="20"/>
        </w:rPr>
        <w:t>The Report of the General Manager on production - business result 2023 and the production and business plan 2024.</w:t>
      </w:r>
    </w:p>
    <w:p w14:paraId="7A5D9A24" w14:textId="77777777" w:rsidR="005E5BAA" w:rsidRDefault="001D6161">
      <w:pPr>
        <w:numPr>
          <w:ilvl w:val="0"/>
          <w:numId w:val="3"/>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Pr>
          <w:rFonts w:ascii="Arial" w:hAnsi="Arial"/>
          <w:color w:val="010000"/>
          <w:sz w:val="20"/>
        </w:rPr>
        <w:t>The Report on activities 2023 of the Board of Directors and the Operational plan 2024;</w:t>
      </w:r>
    </w:p>
    <w:p w14:paraId="73EF4332" w14:textId="77777777" w:rsidR="005E5BAA" w:rsidRDefault="001D6161">
      <w:pPr>
        <w:numPr>
          <w:ilvl w:val="0"/>
          <w:numId w:val="3"/>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Pr>
          <w:rFonts w:ascii="Arial" w:hAnsi="Arial"/>
          <w:color w:val="010000"/>
          <w:sz w:val="20"/>
        </w:rPr>
        <w:t>The Report on surveillance activity 2023 and the Operational plan 2024 of the Supervisory Board.</w:t>
      </w:r>
    </w:p>
    <w:p w14:paraId="3CF1D990"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2. Approve the following contents:</w:t>
      </w:r>
    </w:p>
    <w:p w14:paraId="253441A8" w14:textId="77777777" w:rsidR="005E5BAA" w:rsidRDefault="001D6161">
      <w:pPr>
        <w:numPr>
          <w:ilvl w:val="0"/>
          <w:numId w:val="4"/>
        </w:numPr>
        <w:pBdr>
          <w:top w:val="nil"/>
          <w:left w:val="nil"/>
          <w:bottom w:val="nil"/>
          <w:right w:val="nil"/>
          <w:between w:val="nil"/>
        </w:pBdr>
        <w:tabs>
          <w:tab w:val="left" w:pos="432"/>
          <w:tab w:val="left" w:pos="1074"/>
        </w:tabs>
        <w:spacing w:after="120" w:line="360" w:lineRule="auto"/>
        <w:jc w:val="both"/>
        <w:rPr>
          <w:rFonts w:ascii="Arial" w:eastAsia="Arial" w:hAnsi="Arial" w:cs="Arial"/>
          <w:color w:val="010000"/>
          <w:sz w:val="20"/>
          <w:szCs w:val="20"/>
        </w:rPr>
      </w:pPr>
      <w:r>
        <w:rPr>
          <w:rFonts w:ascii="Arial" w:hAnsi="Arial"/>
          <w:color w:val="010000"/>
          <w:sz w:val="20"/>
        </w:rPr>
        <w:t>The Audited Financial Statements 2023.</w:t>
      </w:r>
    </w:p>
    <w:p w14:paraId="60C7836D" w14:textId="77777777" w:rsidR="005E5BAA" w:rsidRDefault="001D6161">
      <w:pPr>
        <w:numPr>
          <w:ilvl w:val="0"/>
          <w:numId w:val="4"/>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Pr>
          <w:rFonts w:ascii="Arial" w:hAnsi="Arial"/>
          <w:color w:val="010000"/>
          <w:sz w:val="20"/>
        </w:rPr>
        <w:t>The Plan on profit distribution, appropriation and use for funds; dividend payment rate 2023 as follows:</w:t>
      </w:r>
    </w:p>
    <w:p w14:paraId="6109CBAE" w14:textId="77777777" w:rsidR="005E5BAA" w:rsidRPr="005E5008" w:rsidRDefault="001D6161" w:rsidP="005E5008">
      <w:pPr>
        <w:pBdr>
          <w:top w:val="nil"/>
          <w:left w:val="nil"/>
          <w:bottom w:val="nil"/>
          <w:right w:val="nil"/>
          <w:between w:val="nil"/>
        </w:pBdr>
        <w:tabs>
          <w:tab w:val="left" w:pos="432"/>
          <w:tab w:val="left" w:pos="1098"/>
        </w:tabs>
        <w:spacing w:after="120" w:line="360" w:lineRule="auto"/>
        <w:jc w:val="right"/>
        <w:rPr>
          <w:rFonts w:ascii="Arial" w:eastAsia="Arial" w:hAnsi="Arial" w:cs="Arial"/>
          <w:i/>
          <w:color w:val="010000"/>
          <w:sz w:val="20"/>
          <w:szCs w:val="20"/>
        </w:rPr>
      </w:pPr>
      <w:r w:rsidRPr="005E5008">
        <w:rPr>
          <w:rFonts w:ascii="Arial" w:hAnsi="Arial"/>
          <w:i/>
          <w:color w:val="010000"/>
          <w:sz w:val="20"/>
        </w:rPr>
        <w:t>Unit VND</w:t>
      </w:r>
    </w:p>
    <w:tbl>
      <w:tblPr>
        <w:tblStyle w:val="a0"/>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10"/>
        <w:gridCol w:w="4517"/>
      </w:tblGrid>
      <w:tr w:rsidR="005E5BAA" w14:paraId="139389FC" w14:textId="77777777" w:rsidTr="005E5008">
        <w:tc>
          <w:tcPr>
            <w:tcW w:w="4510" w:type="dxa"/>
            <w:shd w:val="clear" w:color="auto" w:fill="auto"/>
            <w:vAlign w:val="center"/>
          </w:tcPr>
          <w:p w14:paraId="4FD7BF4E" w14:textId="7C14D289" w:rsidR="005E5BAA" w:rsidRDefault="001D6161" w:rsidP="005E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 Undistributed profit after tax as </w:t>
            </w:r>
            <w:r w:rsidR="005E5008">
              <w:rPr>
                <w:rFonts w:ascii="Arial" w:hAnsi="Arial"/>
                <w:color w:val="010000"/>
                <w:sz w:val="20"/>
              </w:rPr>
              <w:t>of</w:t>
            </w:r>
            <w:r>
              <w:rPr>
                <w:rFonts w:ascii="Arial" w:hAnsi="Arial"/>
                <w:color w:val="010000"/>
                <w:sz w:val="20"/>
              </w:rPr>
              <w:t xml:space="preserve"> December 31, 2023: </w:t>
            </w:r>
          </w:p>
        </w:tc>
        <w:tc>
          <w:tcPr>
            <w:tcW w:w="4517" w:type="dxa"/>
            <w:shd w:val="clear" w:color="auto" w:fill="auto"/>
            <w:vAlign w:val="center"/>
          </w:tcPr>
          <w:p w14:paraId="22D2FF29" w14:textId="77777777" w:rsidR="005E5BAA" w:rsidRDefault="001D6161">
            <w:pPr>
              <w:pBdr>
                <w:top w:val="nil"/>
                <w:left w:val="nil"/>
                <w:bottom w:val="nil"/>
                <w:right w:val="nil"/>
                <w:between w:val="nil"/>
              </w:pBdr>
              <w:tabs>
                <w:tab w:val="left" w:pos="432"/>
                <w:tab w:val="left" w:pos="1098"/>
              </w:tabs>
              <w:spacing w:after="120" w:line="360" w:lineRule="auto"/>
              <w:jc w:val="right"/>
              <w:rPr>
                <w:rFonts w:ascii="Arial" w:eastAsia="Arial" w:hAnsi="Arial" w:cs="Arial"/>
                <w:color w:val="010000"/>
                <w:sz w:val="20"/>
                <w:szCs w:val="20"/>
              </w:rPr>
            </w:pPr>
            <w:r>
              <w:rPr>
                <w:rFonts w:ascii="Arial" w:hAnsi="Arial"/>
                <w:color w:val="010000"/>
                <w:sz w:val="20"/>
              </w:rPr>
              <w:t>2,140,277,698</w:t>
            </w:r>
          </w:p>
        </w:tc>
      </w:tr>
      <w:tr w:rsidR="005E5BAA" w14:paraId="16DEF3FF" w14:textId="77777777" w:rsidTr="005E5008">
        <w:tc>
          <w:tcPr>
            <w:tcW w:w="4510" w:type="dxa"/>
            <w:shd w:val="clear" w:color="auto" w:fill="auto"/>
            <w:vAlign w:val="center"/>
          </w:tcPr>
          <w:p w14:paraId="1E2143F8"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Dividend payment 2023 (Dividend payment rate of 7%):</w:t>
            </w:r>
          </w:p>
        </w:tc>
        <w:tc>
          <w:tcPr>
            <w:tcW w:w="4517" w:type="dxa"/>
            <w:shd w:val="clear" w:color="auto" w:fill="auto"/>
            <w:vAlign w:val="center"/>
          </w:tcPr>
          <w:p w14:paraId="7D393624" w14:textId="77777777" w:rsidR="005E5BAA" w:rsidRDefault="001D6161">
            <w:pPr>
              <w:pBdr>
                <w:top w:val="nil"/>
                <w:left w:val="nil"/>
                <w:bottom w:val="nil"/>
                <w:right w:val="nil"/>
                <w:between w:val="nil"/>
              </w:pBdr>
              <w:tabs>
                <w:tab w:val="left" w:pos="432"/>
                <w:tab w:val="left" w:pos="1098"/>
              </w:tabs>
              <w:spacing w:after="120" w:line="360" w:lineRule="auto"/>
              <w:jc w:val="right"/>
              <w:rPr>
                <w:rFonts w:ascii="Arial" w:eastAsia="Arial" w:hAnsi="Arial" w:cs="Arial"/>
                <w:color w:val="010000"/>
                <w:sz w:val="20"/>
                <w:szCs w:val="20"/>
              </w:rPr>
            </w:pPr>
            <w:r>
              <w:rPr>
                <w:rFonts w:ascii="Arial" w:hAnsi="Arial"/>
                <w:color w:val="010000"/>
                <w:sz w:val="20"/>
              </w:rPr>
              <w:t>1,400,000,000</w:t>
            </w:r>
          </w:p>
        </w:tc>
      </w:tr>
      <w:tr w:rsidR="005E5BAA" w14:paraId="64E70C88" w14:textId="77777777" w:rsidTr="005E5008">
        <w:tc>
          <w:tcPr>
            <w:tcW w:w="4510" w:type="dxa"/>
            <w:shd w:val="clear" w:color="auto" w:fill="auto"/>
            <w:vAlign w:val="center"/>
          </w:tcPr>
          <w:p w14:paraId="02434D4A" w14:textId="4D056423"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Appropriation for the i</w:t>
            </w:r>
            <w:r w:rsidR="00A44C74">
              <w:rPr>
                <w:rFonts w:ascii="Arial" w:hAnsi="Arial"/>
                <w:color w:val="010000"/>
                <w:sz w:val="20"/>
              </w:rPr>
              <w:t>nvestment and development fund</w:t>
            </w:r>
          </w:p>
        </w:tc>
        <w:tc>
          <w:tcPr>
            <w:tcW w:w="4517" w:type="dxa"/>
            <w:shd w:val="clear" w:color="auto" w:fill="auto"/>
            <w:vAlign w:val="center"/>
          </w:tcPr>
          <w:p w14:paraId="6AF8C694" w14:textId="77777777" w:rsidR="005E5BAA" w:rsidRDefault="001D6161">
            <w:pPr>
              <w:pBdr>
                <w:top w:val="nil"/>
                <w:left w:val="nil"/>
                <w:bottom w:val="nil"/>
                <w:right w:val="nil"/>
                <w:between w:val="nil"/>
              </w:pBdr>
              <w:tabs>
                <w:tab w:val="left" w:pos="432"/>
                <w:tab w:val="left" w:pos="1098"/>
              </w:tabs>
              <w:spacing w:after="120" w:line="360" w:lineRule="auto"/>
              <w:jc w:val="right"/>
              <w:rPr>
                <w:rFonts w:ascii="Arial" w:eastAsia="Arial" w:hAnsi="Arial" w:cs="Arial"/>
                <w:color w:val="010000"/>
                <w:sz w:val="20"/>
                <w:szCs w:val="20"/>
              </w:rPr>
            </w:pPr>
            <w:r>
              <w:rPr>
                <w:rFonts w:ascii="Arial" w:hAnsi="Arial"/>
                <w:color w:val="010000"/>
                <w:sz w:val="20"/>
              </w:rPr>
              <w:t>0</w:t>
            </w:r>
          </w:p>
        </w:tc>
      </w:tr>
      <w:tr w:rsidR="005E5BAA" w14:paraId="20FAFA1C" w14:textId="77777777" w:rsidTr="005E5008">
        <w:tc>
          <w:tcPr>
            <w:tcW w:w="4510" w:type="dxa"/>
            <w:shd w:val="clear" w:color="auto" w:fill="auto"/>
            <w:vAlign w:val="center"/>
          </w:tcPr>
          <w:p w14:paraId="0ED8BC6A"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Appropriation for bonus and welfare funds (1.39 months of average realized salary) </w:t>
            </w:r>
          </w:p>
        </w:tc>
        <w:tc>
          <w:tcPr>
            <w:tcW w:w="4517" w:type="dxa"/>
            <w:shd w:val="clear" w:color="auto" w:fill="auto"/>
            <w:vAlign w:val="center"/>
          </w:tcPr>
          <w:p w14:paraId="2BC0DD6A" w14:textId="77777777" w:rsidR="005E5BAA" w:rsidRDefault="001D6161">
            <w:pPr>
              <w:pBdr>
                <w:top w:val="nil"/>
                <w:left w:val="nil"/>
                <w:bottom w:val="nil"/>
                <w:right w:val="nil"/>
                <w:between w:val="nil"/>
              </w:pBdr>
              <w:tabs>
                <w:tab w:val="left" w:pos="432"/>
                <w:tab w:val="left" w:pos="1098"/>
              </w:tabs>
              <w:spacing w:after="120" w:line="360" w:lineRule="auto"/>
              <w:jc w:val="right"/>
              <w:rPr>
                <w:rFonts w:ascii="Arial" w:eastAsia="Arial" w:hAnsi="Arial" w:cs="Arial"/>
                <w:color w:val="010000"/>
                <w:sz w:val="20"/>
                <w:szCs w:val="20"/>
              </w:rPr>
            </w:pPr>
            <w:r>
              <w:rPr>
                <w:rFonts w:ascii="Arial" w:hAnsi="Arial"/>
                <w:color w:val="010000"/>
                <w:sz w:val="20"/>
              </w:rPr>
              <w:t>447,000,000</w:t>
            </w:r>
          </w:p>
        </w:tc>
      </w:tr>
      <w:tr w:rsidR="005E5BAA" w14:paraId="3CE5DFED" w14:textId="77777777" w:rsidTr="005E5008">
        <w:tc>
          <w:tcPr>
            <w:tcW w:w="4510" w:type="dxa"/>
            <w:shd w:val="clear" w:color="auto" w:fill="auto"/>
            <w:vAlign w:val="center"/>
          </w:tcPr>
          <w:p w14:paraId="5759CC67" w14:textId="77777777"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Appropriation for the bonus fund for the Executive Board (0.63 months of average realized salary)</w:t>
            </w:r>
          </w:p>
        </w:tc>
        <w:tc>
          <w:tcPr>
            <w:tcW w:w="4517" w:type="dxa"/>
            <w:shd w:val="clear" w:color="auto" w:fill="auto"/>
            <w:vAlign w:val="center"/>
          </w:tcPr>
          <w:p w14:paraId="2B036928" w14:textId="77777777" w:rsidR="005E5BAA" w:rsidRDefault="001D6161">
            <w:pPr>
              <w:pBdr>
                <w:top w:val="nil"/>
                <w:left w:val="nil"/>
                <w:bottom w:val="nil"/>
                <w:right w:val="nil"/>
                <w:between w:val="nil"/>
              </w:pBdr>
              <w:tabs>
                <w:tab w:val="left" w:pos="432"/>
                <w:tab w:val="left" w:pos="996"/>
              </w:tabs>
              <w:spacing w:after="120" w:line="360" w:lineRule="auto"/>
              <w:jc w:val="right"/>
              <w:rPr>
                <w:rFonts w:ascii="Arial" w:eastAsia="Arial" w:hAnsi="Arial" w:cs="Arial"/>
                <w:color w:val="010000"/>
                <w:sz w:val="20"/>
                <w:szCs w:val="20"/>
              </w:rPr>
            </w:pPr>
            <w:r>
              <w:rPr>
                <w:rFonts w:ascii="Arial" w:hAnsi="Arial"/>
                <w:color w:val="010000"/>
                <w:sz w:val="20"/>
              </w:rPr>
              <w:t>40,000,000</w:t>
            </w:r>
          </w:p>
        </w:tc>
      </w:tr>
      <w:tr w:rsidR="005E5BAA" w14:paraId="6DC346C4" w14:textId="77777777" w:rsidTr="005E5008">
        <w:tc>
          <w:tcPr>
            <w:tcW w:w="4510" w:type="dxa"/>
            <w:shd w:val="clear" w:color="auto" w:fill="auto"/>
            <w:vAlign w:val="center"/>
          </w:tcPr>
          <w:p w14:paraId="59CC4A02"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 Remaining profit after tax </w:t>
            </w:r>
          </w:p>
        </w:tc>
        <w:tc>
          <w:tcPr>
            <w:tcW w:w="4517" w:type="dxa"/>
            <w:shd w:val="clear" w:color="auto" w:fill="auto"/>
            <w:vAlign w:val="center"/>
          </w:tcPr>
          <w:p w14:paraId="0D401070" w14:textId="77777777" w:rsidR="005E5BAA" w:rsidRDefault="001D6161">
            <w:pPr>
              <w:pBdr>
                <w:top w:val="nil"/>
                <w:left w:val="nil"/>
                <w:bottom w:val="nil"/>
                <w:right w:val="nil"/>
                <w:between w:val="nil"/>
              </w:pBdr>
              <w:tabs>
                <w:tab w:val="left" w:pos="432"/>
                <w:tab w:val="left" w:pos="1098"/>
              </w:tabs>
              <w:spacing w:after="120" w:line="360" w:lineRule="auto"/>
              <w:jc w:val="right"/>
              <w:rPr>
                <w:rFonts w:ascii="Arial" w:eastAsia="Arial" w:hAnsi="Arial" w:cs="Arial"/>
                <w:color w:val="010000"/>
                <w:sz w:val="20"/>
                <w:szCs w:val="20"/>
              </w:rPr>
            </w:pPr>
            <w:r>
              <w:rPr>
                <w:rFonts w:ascii="Arial" w:hAnsi="Arial"/>
                <w:color w:val="010000"/>
                <w:sz w:val="20"/>
              </w:rPr>
              <w:t>253,277,698</w:t>
            </w:r>
          </w:p>
        </w:tc>
      </w:tr>
    </w:tbl>
    <w:p w14:paraId="777EC23D" w14:textId="265EB6CB" w:rsidR="005E5BAA" w:rsidRDefault="001D6161">
      <w:pPr>
        <w:numPr>
          <w:ilvl w:val="0"/>
          <w:numId w:val="4"/>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The production and business and dividend payment plan </w:t>
      </w:r>
      <w:r w:rsidR="00A44C74">
        <w:rPr>
          <w:rFonts w:ascii="Arial" w:hAnsi="Arial"/>
          <w:color w:val="010000"/>
          <w:sz w:val="20"/>
        </w:rPr>
        <w:t xml:space="preserve">for </w:t>
      </w:r>
      <w:r>
        <w:rPr>
          <w:rFonts w:ascii="Arial" w:hAnsi="Arial"/>
          <w:color w:val="010000"/>
          <w:sz w:val="20"/>
        </w:rPr>
        <w:t xml:space="preserve">2024 as </w:t>
      </w:r>
      <w:r w:rsidR="00A44C74">
        <w:rPr>
          <w:rFonts w:ascii="Arial" w:hAnsi="Arial"/>
          <w:color w:val="010000"/>
          <w:sz w:val="20"/>
        </w:rPr>
        <w:t>follows</w:t>
      </w:r>
      <w:r>
        <w:rPr>
          <w:rFonts w:ascii="Arial" w:hAnsi="Arial"/>
          <w:color w:val="010000"/>
          <w:sz w:val="20"/>
        </w:rPr>
        <w:t>:</w:t>
      </w:r>
    </w:p>
    <w:tbl>
      <w:tblPr>
        <w:tblStyle w:val="a1"/>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403"/>
        <w:gridCol w:w="1403"/>
        <w:gridCol w:w="1403"/>
        <w:gridCol w:w="1210"/>
      </w:tblGrid>
      <w:tr w:rsidR="005E5BAA" w14:paraId="697B1D91" w14:textId="77777777" w:rsidTr="00E26A04">
        <w:trPr>
          <w:tblHeader/>
        </w:trPr>
        <w:tc>
          <w:tcPr>
            <w:tcW w:w="3666" w:type="dxa"/>
            <w:shd w:val="clear" w:color="auto" w:fill="auto"/>
            <w:tcMar>
              <w:top w:w="0" w:type="dxa"/>
              <w:bottom w:w="0" w:type="dxa"/>
            </w:tcMar>
            <w:vAlign w:val="center"/>
          </w:tcPr>
          <w:p w14:paraId="54EE93DF"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Targets</w:t>
            </w:r>
          </w:p>
        </w:tc>
        <w:tc>
          <w:tcPr>
            <w:tcW w:w="1403" w:type="dxa"/>
            <w:shd w:val="clear" w:color="auto" w:fill="auto"/>
            <w:tcMar>
              <w:top w:w="0" w:type="dxa"/>
              <w:bottom w:w="0" w:type="dxa"/>
            </w:tcMar>
            <w:vAlign w:val="center"/>
          </w:tcPr>
          <w:p w14:paraId="5FABB9A3"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1403" w:type="dxa"/>
            <w:shd w:val="clear" w:color="auto" w:fill="auto"/>
            <w:tcMar>
              <w:top w:w="0" w:type="dxa"/>
              <w:bottom w:w="0" w:type="dxa"/>
            </w:tcMar>
            <w:vAlign w:val="center"/>
          </w:tcPr>
          <w:p w14:paraId="59FD8412" w14:textId="303C90F8"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Results</w:t>
            </w:r>
            <w:r w:rsidR="00F56AF5">
              <w:rPr>
                <w:rFonts w:ascii="Arial" w:hAnsi="Arial"/>
                <w:color w:val="010000"/>
                <w:sz w:val="20"/>
              </w:rPr>
              <w:t xml:space="preserve"> 2023</w:t>
            </w:r>
          </w:p>
        </w:tc>
        <w:tc>
          <w:tcPr>
            <w:tcW w:w="1403" w:type="dxa"/>
            <w:shd w:val="clear" w:color="auto" w:fill="auto"/>
            <w:tcMar>
              <w:top w:w="0" w:type="dxa"/>
              <w:bottom w:w="0" w:type="dxa"/>
            </w:tcMar>
            <w:vAlign w:val="center"/>
          </w:tcPr>
          <w:p w14:paraId="6DC088EB" w14:textId="350FF9E4"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w:t>
            </w:r>
            <w:r w:rsidR="00F56AF5">
              <w:rPr>
                <w:rFonts w:ascii="Arial" w:hAnsi="Arial"/>
                <w:color w:val="010000"/>
                <w:sz w:val="20"/>
              </w:rPr>
              <w:t xml:space="preserve"> 2024</w:t>
            </w:r>
          </w:p>
        </w:tc>
        <w:tc>
          <w:tcPr>
            <w:tcW w:w="1210" w:type="dxa"/>
            <w:shd w:val="clear" w:color="auto" w:fill="auto"/>
            <w:tcMar>
              <w:top w:w="0" w:type="dxa"/>
              <w:bottom w:w="0" w:type="dxa"/>
            </w:tcMar>
            <w:vAlign w:val="center"/>
          </w:tcPr>
          <w:p w14:paraId="0E518C2C"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Plan/Results (%)</w:t>
            </w:r>
          </w:p>
        </w:tc>
      </w:tr>
      <w:tr w:rsidR="005E5BAA" w14:paraId="1A878E41" w14:textId="77777777" w:rsidTr="00E26A04">
        <w:tc>
          <w:tcPr>
            <w:tcW w:w="3666" w:type="dxa"/>
            <w:shd w:val="clear" w:color="auto" w:fill="auto"/>
            <w:tcMar>
              <w:top w:w="0" w:type="dxa"/>
              <w:bottom w:w="0" w:type="dxa"/>
            </w:tcMar>
            <w:vAlign w:val="center"/>
          </w:tcPr>
          <w:p w14:paraId="332A3C9C" w14:textId="3833F872" w:rsidR="005E5BAA" w:rsidRDefault="00A44C7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1403" w:type="dxa"/>
            <w:shd w:val="clear" w:color="auto" w:fill="auto"/>
            <w:tcMar>
              <w:top w:w="0" w:type="dxa"/>
              <w:bottom w:w="0" w:type="dxa"/>
            </w:tcMar>
            <w:vAlign w:val="center"/>
          </w:tcPr>
          <w:p w14:paraId="76640CF4"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1403" w:type="dxa"/>
            <w:shd w:val="clear" w:color="auto" w:fill="auto"/>
            <w:tcMar>
              <w:top w:w="0" w:type="dxa"/>
              <w:bottom w:w="0" w:type="dxa"/>
            </w:tcMar>
            <w:vAlign w:val="center"/>
          </w:tcPr>
          <w:p w14:paraId="7751D623"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45.911</w:t>
            </w:r>
          </w:p>
        </w:tc>
        <w:tc>
          <w:tcPr>
            <w:tcW w:w="1403" w:type="dxa"/>
            <w:shd w:val="clear" w:color="auto" w:fill="auto"/>
            <w:tcMar>
              <w:top w:w="0" w:type="dxa"/>
              <w:bottom w:w="0" w:type="dxa"/>
            </w:tcMar>
            <w:vAlign w:val="center"/>
          </w:tcPr>
          <w:p w14:paraId="1990F354"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41.770</w:t>
            </w:r>
          </w:p>
        </w:tc>
        <w:tc>
          <w:tcPr>
            <w:tcW w:w="1210" w:type="dxa"/>
            <w:shd w:val="clear" w:color="auto" w:fill="auto"/>
            <w:tcMar>
              <w:top w:w="0" w:type="dxa"/>
              <w:bottom w:w="0" w:type="dxa"/>
            </w:tcMar>
            <w:vAlign w:val="center"/>
          </w:tcPr>
          <w:p w14:paraId="68D3A5AB"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90.98</w:t>
            </w:r>
          </w:p>
        </w:tc>
      </w:tr>
      <w:tr w:rsidR="005E5BAA" w14:paraId="56EFE304" w14:textId="77777777" w:rsidTr="00E26A04">
        <w:tc>
          <w:tcPr>
            <w:tcW w:w="3666" w:type="dxa"/>
            <w:shd w:val="clear" w:color="auto" w:fill="auto"/>
            <w:tcMar>
              <w:top w:w="0" w:type="dxa"/>
              <w:bottom w:w="0" w:type="dxa"/>
            </w:tcMar>
            <w:vAlign w:val="center"/>
          </w:tcPr>
          <w:p w14:paraId="5D691420"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Industrial production revenue</w:t>
            </w:r>
          </w:p>
        </w:tc>
        <w:tc>
          <w:tcPr>
            <w:tcW w:w="1403" w:type="dxa"/>
            <w:shd w:val="clear" w:color="auto" w:fill="auto"/>
            <w:tcMar>
              <w:top w:w="0" w:type="dxa"/>
              <w:bottom w:w="0" w:type="dxa"/>
            </w:tcMar>
            <w:vAlign w:val="center"/>
          </w:tcPr>
          <w:p w14:paraId="2335F887"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1403" w:type="dxa"/>
            <w:shd w:val="clear" w:color="auto" w:fill="auto"/>
            <w:tcMar>
              <w:top w:w="0" w:type="dxa"/>
              <w:bottom w:w="0" w:type="dxa"/>
            </w:tcMar>
            <w:vAlign w:val="center"/>
          </w:tcPr>
          <w:p w14:paraId="688C11E8"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39.395</w:t>
            </w:r>
          </w:p>
        </w:tc>
        <w:tc>
          <w:tcPr>
            <w:tcW w:w="1403" w:type="dxa"/>
            <w:shd w:val="clear" w:color="auto" w:fill="auto"/>
            <w:tcMar>
              <w:top w:w="0" w:type="dxa"/>
              <w:bottom w:w="0" w:type="dxa"/>
            </w:tcMar>
            <w:vAlign w:val="center"/>
          </w:tcPr>
          <w:p w14:paraId="6097DA54"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36.240</w:t>
            </w:r>
          </w:p>
        </w:tc>
        <w:tc>
          <w:tcPr>
            <w:tcW w:w="1210" w:type="dxa"/>
            <w:shd w:val="clear" w:color="auto" w:fill="auto"/>
            <w:tcMar>
              <w:top w:w="0" w:type="dxa"/>
              <w:bottom w:w="0" w:type="dxa"/>
            </w:tcMar>
            <w:vAlign w:val="center"/>
          </w:tcPr>
          <w:p w14:paraId="3C9FBBAE"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91.99</w:t>
            </w:r>
          </w:p>
        </w:tc>
      </w:tr>
      <w:tr w:rsidR="005E5BAA" w14:paraId="7154E3E0" w14:textId="77777777" w:rsidTr="00E26A04">
        <w:tc>
          <w:tcPr>
            <w:tcW w:w="3666" w:type="dxa"/>
            <w:shd w:val="clear" w:color="auto" w:fill="auto"/>
            <w:tcMar>
              <w:top w:w="0" w:type="dxa"/>
              <w:bottom w:w="0" w:type="dxa"/>
            </w:tcMar>
            <w:vAlign w:val="center"/>
          </w:tcPr>
          <w:p w14:paraId="4BE5045E"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Service Revenue, others (VND)</w:t>
            </w:r>
          </w:p>
        </w:tc>
        <w:tc>
          <w:tcPr>
            <w:tcW w:w="1403" w:type="dxa"/>
            <w:shd w:val="clear" w:color="auto" w:fill="auto"/>
            <w:tcMar>
              <w:top w:w="0" w:type="dxa"/>
              <w:bottom w:w="0" w:type="dxa"/>
            </w:tcMar>
            <w:vAlign w:val="center"/>
          </w:tcPr>
          <w:p w14:paraId="2BE563EA"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1403" w:type="dxa"/>
            <w:shd w:val="clear" w:color="auto" w:fill="auto"/>
            <w:tcMar>
              <w:top w:w="0" w:type="dxa"/>
              <w:bottom w:w="0" w:type="dxa"/>
            </w:tcMar>
            <w:vAlign w:val="center"/>
          </w:tcPr>
          <w:p w14:paraId="1A36D2B7"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6.516</w:t>
            </w:r>
          </w:p>
        </w:tc>
        <w:tc>
          <w:tcPr>
            <w:tcW w:w="1403" w:type="dxa"/>
            <w:shd w:val="clear" w:color="auto" w:fill="auto"/>
            <w:tcMar>
              <w:top w:w="0" w:type="dxa"/>
              <w:bottom w:w="0" w:type="dxa"/>
            </w:tcMar>
            <w:vAlign w:val="center"/>
          </w:tcPr>
          <w:p w14:paraId="443E6DA1"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5.530</w:t>
            </w:r>
          </w:p>
        </w:tc>
        <w:tc>
          <w:tcPr>
            <w:tcW w:w="1210" w:type="dxa"/>
            <w:shd w:val="clear" w:color="auto" w:fill="auto"/>
            <w:tcMar>
              <w:top w:w="0" w:type="dxa"/>
              <w:bottom w:w="0" w:type="dxa"/>
            </w:tcMar>
            <w:vAlign w:val="center"/>
          </w:tcPr>
          <w:p w14:paraId="2A008757"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84.87</w:t>
            </w:r>
          </w:p>
        </w:tc>
      </w:tr>
      <w:tr w:rsidR="005E5BAA" w14:paraId="344AD2D7" w14:textId="77777777" w:rsidTr="00E26A04">
        <w:tc>
          <w:tcPr>
            <w:tcW w:w="3666" w:type="dxa"/>
            <w:shd w:val="clear" w:color="auto" w:fill="auto"/>
            <w:tcMar>
              <w:top w:w="0" w:type="dxa"/>
              <w:bottom w:w="0" w:type="dxa"/>
            </w:tcMar>
            <w:vAlign w:val="center"/>
          </w:tcPr>
          <w:p w14:paraId="60B70F52"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Sale volume of bottle cap products</w:t>
            </w:r>
          </w:p>
        </w:tc>
        <w:tc>
          <w:tcPr>
            <w:tcW w:w="1403" w:type="dxa"/>
            <w:shd w:val="clear" w:color="auto" w:fill="auto"/>
            <w:tcMar>
              <w:top w:w="0" w:type="dxa"/>
              <w:bottom w:w="0" w:type="dxa"/>
            </w:tcMar>
            <w:vAlign w:val="center"/>
          </w:tcPr>
          <w:p w14:paraId="69D39BDF"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Million caps</w:t>
            </w:r>
          </w:p>
        </w:tc>
        <w:tc>
          <w:tcPr>
            <w:tcW w:w="1403" w:type="dxa"/>
            <w:shd w:val="clear" w:color="auto" w:fill="auto"/>
            <w:tcMar>
              <w:top w:w="0" w:type="dxa"/>
              <w:bottom w:w="0" w:type="dxa"/>
            </w:tcMar>
            <w:vAlign w:val="center"/>
          </w:tcPr>
          <w:p w14:paraId="760FA71B"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301.61</w:t>
            </w:r>
          </w:p>
        </w:tc>
        <w:tc>
          <w:tcPr>
            <w:tcW w:w="1403" w:type="dxa"/>
            <w:shd w:val="clear" w:color="auto" w:fill="auto"/>
            <w:tcMar>
              <w:top w:w="0" w:type="dxa"/>
              <w:bottom w:w="0" w:type="dxa"/>
            </w:tcMar>
            <w:vAlign w:val="center"/>
          </w:tcPr>
          <w:p w14:paraId="518AA2A1"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300.00</w:t>
            </w:r>
          </w:p>
        </w:tc>
        <w:tc>
          <w:tcPr>
            <w:tcW w:w="1210" w:type="dxa"/>
            <w:shd w:val="clear" w:color="auto" w:fill="auto"/>
            <w:tcMar>
              <w:top w:w="0" w:type="dxa"/>
              <w:bottom w:w="0" w:type="dxa"/>
            </w:tcMar>
            <w:vAlign w:val="center"/>
          </w:tcPr>
          <w:p w14:paraId="4E8DE303"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99.47</w:t>
            </w:r>
          </w:p>
        </w:tc>
      </w:tr>
      <w:tr w:rsidR="005E5BAA" w14:paraId="261EA8F8" w14:textId="77777777" w:rsidTr="00E26A04">
        <w:tc>
          <w:tcPr>
            <w:tcW w:w="3666" w:type="dxa"/>
            <w:shd w:val="clear" w:color="auto" w:fill="auto"/>
            <w:tcMar>
              <w:top w:w="0" w:type="dxa"/>
              <w:bottom w:w="0" w:type="dxa"/>
            </w:tcMar>
            <w:vAlign w:val="center"/>
          </w:tcPr>
          <w:p w14:paraId="35875966"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Payable to the state budget</w:t>
            </w:r>
          </w:p>
        </w:tc>
        <w:tc>
          <w:tcPr>
            <w:tcW w:w="1403" w:type="dxa"/>
            <w:shd w:val="clear" w:color="auto" w:fill="auto"/>
            <w:tcMar>
              <w:top w:w="0" w:type="dxa"/>
              <w:bottom w:w="0" w:type="dxa"/>
            </w:tcMar>
            <w:vAlign w:val="center"/>
          </w:tcPr>
          <w:p w14:paraId="247D68FC"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1403" w:type="dxa"/>
            <w:shd w:val="clear" w:color="auto" w:fill="auto"/>
            <w:tcMar>
              <w:top w:w="0" w:type="dxa"/>
              <w:bottom w:w="0" w:type="dxa"/>
            </w:tcMar>
            <w:vAlign w:val="center"/>
          </w:tcPr>
          <w:p w14:paraId="7A315799"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4.271</w:t>
            </w:r>
          </w:p>
        </w:tc>
        <w:tc>
          <w:tcPr>
            <w:tcW w:w="1403" w:type="dxa"/>
            <w:shd w:val="clear" w:color="auto" w:fill="auto"/>
            <w:tcMar>
              <w:top w:w="0" w:type="dxa"/>
              <w:bottom w:w="0" w:type="dxa"/>
            </w:tcMar>
            <w:vAlign w:val="center"/>
          </w:tcPr>
          <w:p w14:paraId="51FA706F"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3.500</w:t>
            </w:r>
          </w:p>
        </w:tc>
        <w:tc>
          <w:tcPr>
            <w:tcW w:w="1210" w:type="dxa"/>
            <w:shd w:val="clear" w:color="auto" w:fill="auto"/>
            <w:tcMar>
              <w:top w:w="0" w:type="dxa"/>
              <w:bottom w:w="0" w:type="dxa"/>
            </w:tcMar>
            <w:vAlign w:val="center"/>
          </w:tcPr>
          <w:p w14:paraId="0FB822E0"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81.95</w:t>
            </w:r>
          </w:p>
        </w:tc>
      </w:tr>
      <w:tr w:rsidR="005E5BAA" w14:paraId="552A49A8" w14:textId="77777777" w:rsidTr="00E26A04">
        <w:tc>
          <w:tcPr>
            <w:tcW w:w="3666" w:type="dxa"/>
            <w:shd w:val="clear" w:color="auto" w:fill="auto"/>
            <w:tcMar>
              <w:top w:w="0" w:type="dxa"/>
              <w:bottom w:w="0" w:type="dxa"/>
            </w:tcMar>
            <w:vAlign w:val="center"/>
          </w:tcPr>
          <w:p w14:paraId="0144F16A"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403" w:type="dxa"/>
            <w:shd w:val="clear" w:color="auto" w:fill="auto"/>
            <w:tcMar>
              <w:top w:w="0" w:type="dxa"/>
              <w:bottom w:w="0" w:type="dxa"/>
            </w:tcMar>
            <w:vAlign w:val="center"/>
          </w:tcPr>
          <w:p w14:paraId="4CEE0F47"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Billion VND</w:t>
            </w:r>
          </w:p>
        </w:tc>
        <w:tc>
          <w:tcPr>
            <w:tcW w:w="1403" w:type="dxa"/>
            <w:shd w:val="clear" w:color="auto" w:fill="auto"/>
            <w:tcMar>
              <w:top w:w="0" w:type="dxa"/>
              <w:bottom w:w="0" w:type="dxa"/>
            </w:tcMar>
            <w:vAlign w:val="center"/>
          </w:tcPr>
          <w:p w14:paraId="63CCF13B"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2.057</w:t>
            </w:r>
          </w:p>
        </w:tc>
        <w:tc>
          <w:tcPr>
            <w:tcW w:w="1403" w:type="dxa"/>
            <w:shd w:val="clear" w:color="auto" w:fill="auto"/>
            <w:tcMar>
              <w:top w:w="0" w:type="dxa"/>
              <w:bottom w:w="0" w:type="dxa"/>
            </w:tcMar>
            <w:vAlign w:val="center"/>
          </w:tcPr>
          <w:p w14:paraId="484F52F4"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0.938</w:t>
            </w:r>
          </w:p>
        </w:tc>
        <w:tc>
          <w:tcPr>
            <w:tcW w:w="1210" w:type="dxa"/>
            <w:shd w:val="clear" w:color="auto" w:fill="auto"/>
            <w:tcMar>
              <w:top w:w="0" w:type="dxa"/>
              <w:bottom w:w="0" w:type="dxa"/>
            </w:tcMar>
            <w:vAlign w:val="center"/>
          </w:tcPr>
          <w:p w14:paraId="262E3169"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45.60</w:t>
            </w:r>
          </w:p>
        </w:tc>
      </w:tr>
      <w:tr w:rsidR="005E5BAA" w14:paraId="28E9BEA6" w14:textId="77777777" w:rsidTr="00E26A04">
        <w:tc>
          <w:tcPr>
            <w:tcW w:w="3666" w:type="dxa"/>
            <w:shd w:val="clear" w:color="auto" w:fill="auto"/>
            <w:tcMar>
              <w:top w:w="0" w:type="dxa"/>
              <w:bottom w:w="0" w:type="dxa"/>
            </w:tcMar>
            <w:vAlign w:val="center"/>
          </w:tcPr>
          <w:p w14:paraId="52589AEE" w14:textId="77777777" w:rsidR="005E5BAA" w:rsidRDefault="001D616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payment rate</w:t>
            </w:r>
          </w:p>
        </w:tc>
        <w:tc>
          <w:tcPr>
            <w:tcW w:w="1403" w:type="dxa"/>
            <w:shd w:val="clear" w:color="auto" w:fill="auto"/>
            <w:tcMar>
              <w:top w:w="0" w:type="dxa"/>
              <w:bottom w:w="0" w:type="dxa"/>
            </w:tcMar>
            <w:vAlign w:val="center"/>
          </w:tcPr>
          <w:p w14:paraId="2C3C81B1"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w:t>
            </w:r>
          </w:p>
        </w:tc>
        <w:tc>
          <w:tcPr>
            <w:tcW w:w="1403" w:type="dxa"/>
            <w:shd w:val="clear" w:color="auto" w:fill="auto"/>
            <w:tcMar>
              <w:top w:w="0" w:type="dxa"/>
              <w:bottom w:w="0" w:type="dxa"/>
            </w:tcMar>
            <w:vAlign w:val="center"/>
          </w:tcPr>
          <w:p w14:paraId="284825FD"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7.0</w:t>
            </w:r>
          </w:p>
        </w:tc>
        <w:tc>
          <w:tcPr>
            <w:tcW w:w="1403" w:type="dxa"/>
            <w:shd w:val="clear" w:color="auto" w:fill="auto"/>
            <w:tcMar>
              <w:top w:w="0" w:type="dxa"/>
              <w:bottom w:w="0" w:type="dxa"/>
            </w:tcMar>
            <w:vAlign w:val="center"/>
          </w:tcPr>
          <w:p w14:paraId="72E627B5"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2.5</w:t>
            </w:r>
          </w:p>
        </w:tc>
        <w:tc>
          <w:tcPr>
            <w:tcW w:w="1210" w:type="dxa"/>
            <w:shd w:val="clear" w:color="auto" w:fill="auto"/>
            <w:tcMar>
              <w:top w:w="0" w:type="dxa"/>
              <w:bottom w:w="0" w:type="dxa"/>
            </w:tcMar>
            <w:vAlign w:val="center"/>
          </w:tcPr>
          <w:p w14:paraId="028E51EE" w14:textId="77777777" w:rsidR="005E5BAA" w:rsidRDefault="001D616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35.71</w:t>
            </w:r>
          </w:p>
        </w:tc>
      </w:tr>
    </w:tbl>
    <w:p w14:paraId="2A43C013" w14:textId="032EF078" w:rsidR="005E5BAA" w:rsidRDefault="001D6161">
      <w:pPr>
        <w:numPr>
          <w:ilvl w:val="0"/>
          <w:numId w:val="4"/>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The Realized Remuneration </w:t>
      </w:r>
      <w:r w:rsidR="00E26A04">
        <w:rPr>
          <w:rFonts w:ascii="Arial" w:hAnsi="Arial"/>
          <w:color w:val="010000"/>
          <w:sz w:val="20"/>
        </w:rPr>
        <w:t>Fund</w:t>
      </w:r>
      <w:r>
        <w:rPr>
          <w:rFonts w:ascii="Arial" w:hAnsi="Arial"/>
          <w:color w:val="010000"/>
          <w:sz w:val="20"/>
        </w:rPr>
        <w:t xml:space="preserve"> for Non-executive </w:t>
      </w:r>
      <w:r w:rsidR="00E26A04">
        <w:rPr>
          <w:rFonts w:ascii="Arial" w:hAnsi="Arial"/>
          <w:color w:val="010000"/>
          <w:sz w:val="20"/>
        </w:rPr>
        <w:t>Personnel</w:t>
      </w:r>
      <w:r>
        <w:rPr>
          <w:rFonts w:ascii="Arial" w:hAnsi="Arial"/>
          <w:color w:val="010000"/>
          <w:sz w:val="20"/>
        </w:rPr>
        <w:t xml:space="preserve"> 2023 and the Planned Remuneration </w:t>
      </w:r>
      <w:r w:rsidR="00E26A04">
        <w:rPr>
          <w:rFonts w:ascii="Arial" w:hAnsi="Arial"/>
          <w:color w:val="010000"/>
          <w:sz w:val="20"/>
        </w:rPr>
        <w:t>Fund</w:t>
      </w:r>
      <w:r>
        <w:rPr>
          <w:rFonts w:ascii="Arial" w:hAnsi="Arial"/>
          <w:color w:val="010000"/>
          <w:sz w:val="20"/>
        </w:rPr>
        <w:t xml:space="preserve"> for Non-executive </w:t>
      </w:r>
      <w:r w:rsidR="00E26A04">
        <w:rPr>
          <w:rFonts w:ascii="Arial" w:hAnsi="Arial"/>
          <w:color w:val="010000"/>
          <w:sz w:val="20"/>
        </w:rPr>
        <w:t>Personnel</w:t>
      </w:r>
      <w:r>
        <w:rPr>
          <w:rFonts w:ascii="Arial" w:hAnsi="Arial"/>
          <w:color w:val="010000"/>
          <w:sz w:val="20"/>
        </w:rPr>
        <w:t xml:space="preserve"> 2024 of members of the Board of Directors, the Supervisory Board as follows:</w:t>
      </w:r>
    </w:p>
    <w:p w14:paraId="042C5440" w14:textId="3B41B416" w:rsidR="005E5BAA" w:rsidRDefault="00E26A04">
      <w:pPr>
        <w:numPr>
          <w:ilvl w:val="0"/>
          <w:numId w:val="2"/>
        </w:numPr>
        <w:pBdr>
          <w:top w:val="nil"/>
          <w:left w:val="nil"/>
          <w:bottom w:val="nil"/>
          <w:right w:val="nil"/>
          <w:between w:val="nil"/>
        </w:pBdr>
        <w:tabs>
          <w:tab w:val="left" w:pos="432"/>
          <w:tab w:val="left" w:pos="1001"/>
        </w:tabs>
        <w:spacing w:after="120" w:line="360" w:lineRule="auto"/>
        <w:rPr>
          <w:rFonts w:ascii="Arial" w:eastAsia="Arial" w:hAnsi="Arial" w:cs="Arial"/>
          <w:color w:val="010000"/>
          <w:sz w:val="20"/>
          <w:szCs w:val="20"/>
        </w:rPr>
      </w:pPr>
      <w:r>
        <w:rPr>
          <w:rFonts w:ascii="Arial" w:hAnsi="Arial"/>
          <w:color w:val="010000"/>
          <w:sz w:val="20"/>
        </w:rPr>
        <w:t>The r</w:t>
      </w:r>
      <w:r w:rsidR="001D6161">
        <w:rPr>
          <w:rFonts w:ascii="Arial" w:hAnsi="Arial"/>
          <w:color w:val="010000"/>
          <w:sz w:val="20"/>
        </w:rPr>
        <w:t xml:space="preserve">ealized Remuneration fund for Non-executive personnel </w:t>
      </w:r>
      <w:r w:rsidR="00A45245">
        <w:rPr>
          <w:rFonts w:ascii="Arial" w:hAnsi="Arial"/>
          <w:color w:val="010000"/>
          <w:sz w:val="20"/>
        </w:rPr>
        <w:t xml:space="preserve">in </w:t>
      </w:r>
      <w:r w:rsidR="001D6161">
        <w:rPr>
          <w:rFonts w:ascii="Arial" w:hAnsi="Arial"/>
          <w:color w:val="010000"/>
          <w:sz w:val="20"/>
        </w:rPr>
        <w:t xml:space="preserve">2023 </w:t>
      </w:r>
      <w:r w:rsidR="00A45245">
        <w:rPr>
          <w:rFonts w:ascii="Arial" w:hAnsi="Arial"/>
          <w:color w:val="010000"/>
          <w:sz w:val="20"/>
        </w:rPr>
        <w:t xml:space="preserve">is </w:t>
      </w:r>
      <w:r w:rsidR="001D6161">
        <w:rPr>
          <w:rFonts w:ascii="Arial" w:hAnsi="Arial"/>
          <w:color w:val="010000"/>
          <w:sz w:val="20"/>
        </w:rPr>
        <w:t>VND 223,200,000.</w:t>
      </w:r>
    </w:p>
    <w:p w14:paraId="33A8C955" w14:textId="62A68004" w:rsidR="005E5BAA" w:rsidRDefault="00E26A04">
      <w:pPr>
        <w:numPr>
          <w:ilvl w:val="0"/>
          <w:numId w:val="2"/>
        </w:numPr>
        <w:pBdr>
          <w:top w:val="nil"/>
          <w:left w:val="nil"/>
          <w:bottom w:val="nil"/>
          <w:right w:val="nil"/>
          <w:between w:val="nil"/>
        </w:pBdr>
        <w:tabs>
          <w:tab w:val="left" w:pos="432"/>
          <w:tab w:val="left" w:pos="1026"/>
        </w:tabs>
        <w:spacing w:after="120" w:line="360" w:lineRule="auto"/>
        <w:jc w:val="both"/>
        <w:rPr>
          <w:rFonts w:ascii="Arial" w:eastAsia="Arial" w:hAnsi="Arial" w:cs="Arial"/>
          <w:color w:val="010000"/>
          <w:sz w:val="20"/>
          <w:szCs w:val="20"/>
        </w:rPr>
      </w:pPr>
      <w:r>
        <w:rPr>
          <w:rFonts w:ascii="Arial" w:hAnsi="Arial"/>
          <w:color w:val="010000"/>
          <w:sz w:val="20"/>
        </w:rPr>
        <w:t>The planned</w:t>
      </w:r>
      <w:r w:rsidR="001D6161">
        <w:rPr>
          <w:rFonts w:ascii="Arial" w:hAnsi="Arial"/>
          <w:color w:val="010000"/>
          <w:sz w:val="20"/>
        </w:rPr>
        <w:t xml:space="preserve"> Remuneration fund for Non-executive personnel </w:t>
      </w:r>
      <w:r w:rsidR="00A45245">
        <w:rPr>
          <w:rFonts w:ascii="Arial" w:hAnsi="Arial"/>
          <w:color w:val="010000"/>
          <w:sz w:val="20"/>
        </w:rPr>
        <w:t xml:space="preserve">in </w:t>
      </w:r>
      <w:r w:rsidR="001D6161">
        <w:rPr>
          <w:rFonts w:ascii="Arial" w:hAnsi="Arial"/>
          <w:color w:val="010000"/>
          <w:sz w:val="20"/>
        </w:rPr>
        <w:t xml:space="preserve">2024 </w:t>
      </w:r>
      <w:r w:rsidR="00A45245">
        <w:rPr>
          <w:rFonts w:ascii="Arial" w:hAnsi="Arial"/>
          <w:color w:val="010000"/>
          <w:sz w:val="20"/>
        </w:rPr>
        <w:t xml:space="preserve">is </w:t>
      </w:r>
      <w:r w:rsidR="001D6161">
        <w:rPr>
          <w:rFonts w:ascii="Arial" w:hAnsi="Arial"/>
          <w:color w:val="010000"/>
          <w:sz w:val="20"/>
        </w:rPr>
        <w:t>VND 186,000,000.</w:t>
      </w:r>
    </w:p>
    <w:p w14:paraId="6D40908D" w14:textId="749CB9F3" w:rsidR="005E5BAA" w:rsidRDefault="001D6161">
      <w:pPr>
        <w:numPr>
          <w:ilvl w:val="0"/>
          <w:numId w:val="2"/>
        </w:numPr>
        <w:pBdr>
          <w:top w:val="nil"/>
          <w:left w:val="nil"/>
          <w:bottom w:val="nil"/>
          <w:right w:val="nil"/>
          <w:between w:val="nil"/>
        </w:pBdr>
        <w:tabs>
          <w:tab w:val="left" w:pos="432"/>
          <w:tab w:val="left" w:pos="1026"/>
        </w:tabs>
        <w:spacing w:after="120" w:line="360" w:lineRule="auto"/>
        <w:jc w:val="both"/>
        <w:rPr>
          <w:rFonts w:ascii="Arial" w:eastAsia="Arial" w:hAnsi="Arial" w:cs="Arial"/>
          <w:color w:val="010000"/>
          <w:sz w:val="20"/>
          <w:szCs w:val="20"/>
        </w:rPr>
      </w:pPr>
      <w:r>
        <w:rPr>
          <w:rFonts w:ascii="Arial" w:hAnsi="Arial"/>
          <w:color w:val="010000"/>
          <w:sz w:val="20"/>
        </w:rPr>
        <w:t xml:space="preserve">The Remuneration fund for Non-executive personnel </w:t>
      </w:r>
      <w:r w:rsidR="00A45245">
        <w:rPr>
          <w:rFonts w:ascii="Arial" w:hAnsi="Arial"/>
          <w:color w:val="010000"/>
          <w:sz w:val="20"/>
        </w:rPr>
        <w:t>can</w:t>
      </w:r>
      <w:r>
        <w:rPr>
          <w:rFonts w:ascii="Arial" w:hAnsi="Arial"/>
          <w:color w:val="010000"/>
          <w:sz w:val="20"/>
        </w:rPr>
        <w:t xml:space="preserve"> change upon the </w:t>
      </w:r>
      <w:r w:rsidR="00A45245">
        <w:rPr>
          <w:rFonts w:ascii="Arial" w:hAnsi="Arial"/>
          <w:color w:val="010000"/>
          <w:sz w:val="20"/>
        </w:rPr>
        <w:t>production-business</w:t>
      </w:r>
      <w:r>
        <w:rPr>
          <w:rFonts w:ascii="Arial" w:hAnsi="Arial"/>
          <w:color w:val="010000"/>
          <w:sz w:val="20"/>
        </w:rPr>
        <w:t xml:space="preserve"> result </w:t>
      </w:r>
      <w:r w:rsidR="00A45245">
        <w:rPr>
          <w:rFonts w:ascii="Arial" w:hAnsi="Arial"/>
          <w:color w:val="010000"/>
          <w:sz w:val="20"/>
        </w:rPr>
        <w:t>following</w:t>
      </w:r>
      <w:r>
        <w:rPr>
          <w:rFonts w:ascii="Arial" w:hAnsi="Arial"/>
          <w:color w:val="010000"/>
          <w:sz w:val="20"/>
        </w:rPr>
        <w:t xml:space="preserve"> current provisions</w:t>
      </w:r>
      <w:r w:rsidR="00A45245">
        <w:rPr>
          <w:rFonts w:ascii="Arial" w:hAnsi="Arial"/>
          <w:color w:val="010000"/>
          <w:sz w:val="20"/>
        </w:rPr>
        <w:t>.</w:t>
      </w:r>
    </w:p>
    <w:p w14:paraId="60F666C9" w14:textId="77777777" w:rsidR="005E5BAA" w:rsidRDefault="001D6161">
      <w:pPr>
        <w:numPr>
          <w:ilvl w:val="0"/>
          <w:numId w:val="1"/>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Pr>
          <w:rFonts w:ascii="Arial" w:hAnsi="Arial"/>
          <w:color w:val="010000"/>
          <w:sz w:val="20"/>
        </w:rPr>
        <w:t xml:space="preserve">The list of audit companies 2024 of Beer - Alcohol - Beverage Packaging Joint Stock Company and </w:t>
      </w:r>
      <w:proofErr w:type="gramStart"/>
      <w:r>
        <w:rPr>
          <w:rFonts w:ascii="Arial" w:hAnsi="Arial"/>
          <w:color w:val="010000"/>
          <w:sz w:val="20"/>
        </w:rPr>
        <w:t>audit company</w:t>
      </w:r>
      <w:proofErr w:type="gramEnd"/>
      <w:r>
        <w:rPr>
          <w:rFonts w:ascii="Arial" w:hAnsi="Arial"/>
          <w:color w:val="010000"/>
          <w:sz w:val="20"/>
        </w:rPr>
        <w:t xml:space="preserve"> agreed by the State Securities Commission to audit the Financial Statements 2024. Assign the Board of Directors to select one of these audit companies and the General Manager to sign auditing service contracts with the selected audit company.</w:t>
      </w:r>
    </w:p>
    <w:p w14:paraId="67D206B5" w14:textId="77777777" w:rsidR="005E5BAA" w:rsidRDefault="001D6161">
      <w:pPr>
        <w:numPr>
          <w:ilvl w:val="0"/>
          <w:numId w:val="1"/>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Pr>
          <w:rFonts w:ascii="Arial" w:hAnsi="Arial"/>
          <w:color w:val="010000"/>
          <w:sz w:val="20"/>
        </w:rPr>
        <w:t>Approve contracts between the Company and relevant persons of the Company:</w:t>
      </w:r>
    </w:p>
    <w:p w14:paraId="7F5837D9" w14:textId="1AB65759" w:rsidR="005E5BAA" w:rsidRDefault="001D6161">
      <w:pPr>
        <w:numPr>
          <w:ilvl w:val="0"/>
          <w:numId w:val="2"/>
        </w:numPr>
        <w:pBdr>
          <w:top w:val="nil"/>
          <w:left w:val="nil"/>
          <w:bottom w:val="nil"/>
          <w:right w:val="nil"/>
          <w:between w:val="nil"/>
        </w:pBdr>
        <w:tabs>
          <w:tab w:val="left" w:pos="432"/>
          <w:tab w:val="left" w:pos="1021"/>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Purchase and sale contract 2024 </w:t>
      </w:r>
      <w:r w:rsidR="00A45245">
        <w:rPr>
          <w:rFonts w:ascii="Arial" w:hAnsi="Arial"/>
          <w:color w:val="010000"/>
          <w:sz w:val="20"/>
        </w:rPr>
        <w:t>following</w:t>
      </w:r>
      <w:r>
        <w:rPr>
          <w:rFonts w:ascii="Arial" w:hAnsi="Arial"/>
          <w:color w:val="010000"/>
          <w:sz w:val="20"/>
        </w:rPr>
        <w:t xml:space="preserve"> the agreement with Hanoi Beer-Alcohol-Beverage Joint Stock Corporation. </w:t>
      </w:r>
    </w:p>
    <w:p w14:paraId="766387D3" w14:textId="77777777" w:rsidR="005E5BAA" w:rsidRDefault="001D6161">
      <w:pPr>
        <w:numPr>
          <w:ilvl w:val="0"/>
          <w:numId w:val="2"/>
        </w:numPr>
        <w:pBdr>
          <w:top w:val="nil"/>
          <w:left w:val="nil"/>
          <w:bottom w:val="nil"/>
          <w:right w:val="nil"/>
          <w:between w:val="nil"/>
        </w:pBdr>
        <w:tabs>
          <w:tab w:val="left" w:pos="432"/>
          <w:tab w:val="left" w:pos="1006"/>
        </w:tabs>
        <w:spacing w:after="120" w:line="360" w:lineRule="auto"/>
        <w:rPr>
          <w:rFonts w:ascii="Arial" w:eastAsia="Arial" w:hAnsi="Arial" w:cs="Arial"/>
          <w:color w:val="010000"/>
          <w:sz w:val="20"/>
          <w:szCs w:val="20"/>
        </w:rPr>
      </w:pPr>
      <w:r>
        <w:rPr>
          <w:rFonts w:ascii="Arial" w:hAnsi="Arial"/>
          <w:color w:val="010000"/>
          <w:sz w:val="20"/>
        </w:rPr>
        <w:t>Approve the Purchase and sale contract 2025 with Hanoi Beer-Alcohol-Beverage Joint Stock Corporation.</w:t>
      </w:r>
    </w:p>
    <w:p w14:paraId="635E9D91" w14:textId="7BEE3660" w:rsidR="005E5BAA" w:rsidRDefault="001D6161">
      <w:pPr>
        <w:numPr>
          <w:ilvl w:val="0"/>
          <w:numId w:val="2"/>
        </w:numPr>
        <w:pBdr>
          <w:top w:val="nil"/>
          <w:left w:val="nil"/>
          <w:bottom w:val="nil"/>
          <w:right w:val="nil"/>
          <w:between w:val="nil"/>
        </w:pBdr>
        <w:tabs>
          <w:tab w:val="left" w:pos="432"/>
          <w:tab w:val="left" w:pos="1021"/>
        </w:tabs>
        <w:spacing w:after="120" w:line="360" w:lineRule="auto"/>
        <w:jc w:val="both"/>
        <w:rPr>
          <w:rFonts w:ascii="Arial" w:eastAsia="Arial" w:hAnsi="Arial" w:cs="Arial"/>
          <w:color w:val="010000"/>
          <w:sz w:val="20"/>
          <w:szCs w:val="20"/>
        </w:rPr>
      </w:pPr>
      <w:r>
        <w:rPr>
          <w:rFonts w:ascii="Arial" w:hAnsi="Arial"/>
          <w:color w:val="010000"/>
          <w:sz w:val="20"/>
        </w:rPr>
        <w:t xml:space="preserve">Authorize the General Manager </w:t>
      </w:r>
      <w:r w:rsidR="00A45245">
        <w:rPr>
          <w:rFonts w:ascii="Arial" w:hAnsi="Arial"/>
          <w:color w:val="010000"/>
          <w:sz w:val="20"/>
        </w:rPr>
        <w:t xml:space="preserve">to </w:t>
      </w:r>
      <w:r>
        <w:rPr>
          <w:rFonts w:ascii="Arial" w:hAnsi="Arial"/>
          <w:color w:val="010000"/>
          <w:sz w:val="20"/>
        </w:rPr>
        <w:t xml:space="preserve">sign the Purchase and sale contract 2025 with Hanoi Beer-Alcohol-Beverage Joint Stock Corporation </w:t>
      </w:r>
      <w:r w:rsidR="00A45245">
        <w:rPr>
          <w:rFonts w:ascii="Arial" w:hAnsi="Arial"/>
          <w:color w:val="010000"/>
          <w:sz w:val="20"/>
        </w:rPr>
        <w:t>following</w:t>
      </w:r>
      <w:r>
        <w:rPr>
          <w:rFonts w:ascii="Arial" w:hAnsi="Arial"/>
          <w:color w:val="010000"/>
          <w:sz w:val="20"/>
        </w:rPr>
        <w:t xml:space="preserve"> provisions of law and internal regulations of the Company.</w:t>
      </w:r>
    </w:p>
    <w:p w14:paraId="3FCF9D84" w14:textId="150B0044" w:rsidR="005E5BAA" w:rsidRDefault="001D6161">
      <w:pPr>
        <w:numPr>
          <w:ilvl w:val="0"/>
          <w:numId w:val="1"/>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Pr>
          <w:rFonts w:ascii="Arial" w:hAnsi="Arial"/>
          <w:color w:val="010000"/>
          <w:sz w:val="20"/>
        </w:rPr>
        <w:t xml:space="preserve">Approve the adjustment on the Company’s Charter </w:t>
      </w:r>
      <w:r w:rsidR="00A45245">
        <w:rPr>
          <w:rFonts w:ascii="Arial" w:hAnsi="Arial"/>
          <w:color w:val="010000"/>
          <w:sz w:val="20"/>
        </w:rPr>
        <w:t>following</w:t>
      </w:r>
      <w:r>
        <w:rPr>
          <w:rFonts w:ascii="Arial" w:hAnsi="Arial"/>
          <w:color w:val="010000"/>
          <w:sz w:val="20"/>
        </w:rPr>
        <w:t xml:space="preserve"> Proposal No. 59/</w:t>
      </w:r>
      <w:proofErr w:type="spellStart"/>
      <w:r>
        <w:rPr>
          <w:rFonts w:ascii="Arial" w:hAnsi="Arial"/>
          <w:color w:val="010000"/>
          <w:sz w:val="20"/>
        </w:rPr>
        <w:t>TTr</w:t>
      </w:r>
      <w:proofErr w:type="spellEnd"/>
      <w:r>
        <w:rPr>
          <w:rFonts w:ascii="Arial" w:hAnsi="Arial"/>
          <w:color w:val="010000"/>
          <w:sz w:val="20"/>
        </w:rPr>
        <w:t>-HDQT on April 23, 2024 of the Board of Directors.</w:t>
      </w:r>
    </w:p>
    <w:p w14:paraId="1ADAA2A1" w14:textId="0123D93E" w:rsidR="005E5BAA" w:rsidRDefault="001D61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3. This General Mandate was approved by the Annual General Meeting of Shareholders of Beer - Alcohol - Beverage Packaging Joint Stock Company on April 23, 2024</w:t>
      </w:r>
      <w:r w:rsidR="00A45245">
        <w:rPr>
          <w:rFonts w:ascii="Arial" w:hAnsi="Arial"/>
          <w:color w:val="010000"/>
          <w:sz w:val="20"/>
        </w:rPr>
        <w:t>,</w:t>
      </w:r>
      <w:r>
        <w:rPr>
          <w:rFonts w:ascii="Arial" w:hAnsi="Arial"/>
          <w:color w:val="010000"/>
          <w:sz w:val="20"/>
        </w:rPr>
        <w:t xml:space="preserve"> and takes effect on the date of signing. Members of the Board of Directors,</w:t>
      </w:r>
      <w:r w:rsidR="00F56AF5">
        <w:rPr>
          <w:rFonts w:ascii="Arial" w:hAnsi="Arial"/>
          <w:color w:val="010000"/>
          <w:sz w:val="20"/>
        </w:rPr>
        <w:t xml:space="preserve"> the Supervisory Board,</w:t>
      </w:r>
      <w:r>
        <w:rPr>
          <w:rFonts w:ascii="Arial" w:hAnsi="Arial"/>
          <w:color w:val="010000"/>
          <w:sz w:val="20"/>
        </w:rPr>
        <w:t xml:space="preserve"> the Executive Board</w:t>
      </w:r>
      <w:r w:rsidR="00A45245">
        <w:rPr>
          <w:rFonts w:ascii="Arial" w:hAnsi="Arial"/>
          <w:color w:val="010000"/>
          <w:sz w:val="20"/>
        </w:rPr>
        <w:t>,</w:t>
      </w:r>
      <w:bookmarkStart w:id="0" w:name="_GoBack"/>
      <w:bookmarkEnd w:id="0"/>
      <w:r>
        <w:rPr>
          <w:rFonts w:ascii="Arial" w:hAnsi="Arial"/>
          <w:color w:val="010000"/>
          <w:sz w:val="20"/>
        </w:rPr>
        <w:t xml:space="preserve"> and shareholders of Beer - Alcohol - Beverage Packaging Joint Stock Company are responsible for implementing this General Mandate.</w:t>
      </w:r>
    </w:p>
    <w:sectPr w:rsidR="005E5BAA">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1C8D"/>
    <w:multiLevelType w:val="multilevel"/>
    <w:tmpl w:val="0D76CEA4"/>
    <w:lvl w:ilvl="0">
      <w:start w:val="1"/>
      <w:numFmt w:val="decimal"/>
      <w:lvlText w:val="%1."/>
      <w:lvlJc w:val="left"/>
      <w:pPr>
        <w:ind w:left="0" w:firstLine="0"/>
      </w:pPr>
      <w:rPr>
        <w:rFonts w:ascii="Arial" w:eastAsia="Arial" w:hAnsi="Arial" w:cs="Arial"/>
        <w:b w:val="0"/>
        <w:i w:val="0"/>
        <w:smallCaps w:val="0"/>
        <w:strike w:val="0"/>
        <w:color w:val="15151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F5125E3"/>
    <w:multiLevelType w:val="multilevel"/>
    <w:tmpl w:val="76226776"/>
    <w:lvl w:ilvl="0">
      <w:start w:val="5"/>
      <w:numFmt w:val="decimal"/>
      <w:lvlText w:val="%1."/>
      <w:lvlJc w:val="left"/>
      <w:pPr>
        <w:ind w:left="0" w:firstLine="0"/>
      </w:pPr>
      <w:rPr>
        <w:rFonts w:ascii="Arial" w:eastAsia="Arial" w:hAnsi="Arial" w:cs="Arial"/>
        <w:b w:val="0"/>
        <w:i w:val="0"/>
        <w:smallCaps w:val="0"/>
        <w:strike w:val="0"/>
        <w:color w:val="15151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D6E108F"/>
    <w:multiLevelType w:val="multilevel"/>
    <w:tmpl w:val="D7429D04"/>
    <w:lvl w:ilvl="0">
      <w:start w:val="1"/>
      <w:numFmt w:val="bullet"/>
      <w:lvlText w:val="*"/>
      <w:lvlJc w:val="left"/>
      <w:pPr>
        <w:ind w:left="0" w:firstLine="0"/>
      </w:pPr>
      <w:rPr>
        <w:rFonts w:ascii="Arial" w:eastAsia="Arial" w:hAnsi="Arial" w:cs="Arial"/>
        <w:b w:val="0"/>
        <w:i w:val="0"/>
        <w:smallCaps w:val="0"/>
        <w:strike w:val="0"/>
        <w:color w:val="15151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D311542"/>
    <w:multiLevelType w:val="multilevel"/>
    <w:tmpl w:val="51465064"/>
    <w:lvl w:ilvl="0">
      <w:start w:val="1"/>
      <w:numFmt w:val="decimal"/>
      <w:lvlText w:val="%1."/>
      <w:lvlJc w:val="left"/>
      <w:pPr>
        <w:ind w:left="0" w:firstLine="0"/>
      </w:pPr>
      <w:rPr>
        <w:rFonts w:ascii="Arial" w:eastAsia="Arial" w:hAnsi="Arial" w:cs="Arial"/>
        <w:b w:val="0"/>
        <w:i w:val="0"/>
        <w:smallCaps w:val="0"/>
        <w:strike w:val="0"/>
        <w:color w:val="15151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AA"/>
    <w:rsid w:val="001D6161"/>
    <w:rsid w:val="005E5008"/>
    <w:rsid w:val="005E5BAA"/>
    <w:rsid w:val="00A44C74"/>
    <w:rsid w:val="00A45245"/>
    <w:rsid w:val="00E26A04"/>
    <w:rsid w:val="00F5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6F2E"/>
  <w15:docId w15:val="{BBFF9CB7-DE74-41CD-82CC-BCEC3664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51515"/>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51515"/>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151515"/>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151515"/>
      <w:sz w:val="20"/>
      <w:szCs w:val="20"/>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color w:val="151515"/>
      <w:sz w:val="26"/>
      <w:szCs w:val="26"/>
    </w:rPr>
  </w:style>
  <w:style w:type="paragraph" w:customStyle="1" w:styleId="Khc0">
    <w:name w:val="Khác"/>
    <w:basedOn w:val="Normal"/>
    <w:link w:val="Khc"/>
    <w:pPr>
      <w:spacing w:line="259" w:lineRule="auto"/>
      <w:ind w:firstLine="400"/>
    </w:pPr>
    <w:rPr>
      <w:rFonts w:ascii="Times New Roman" w:eastAsia="Times New Roman" w:hAnsi="Times New Roman" w:cs="Times New Roman"/>
      <w:color w:val="151515"/>
      <w:sz w:val="26"/>
      <w:szCs w:val="26"/>
    </w:rPr>
  </w:style>
  <w:style w:type="paragraph" w:customStyle="1" w:styleId="Chthchbng0">
    <w:name w:val="Chú thích bảng"/>
    <w:basedOn w:val="Normal"/>
    <w:link w:val="Chthchbng"/>
    <w:pPr>
      <w:spacing w:line="250" w:lineRule="auto"/>
    </w:pPr>
    <w:rPr>
      <w:rFonts w:ascii="Times New Roman" w:eastAsia="Times New Roman" w:hAnsi="Times New Roman" w:cs="Times New Roman"/>
      <w:color w:val="151515"/>
      <w:sz w:val="26"/>
      <w:szCs w:val="26"/>
    </w:rPr>
  </w:style>
  <w:style w:type="paragraph" w:customStyle="1" w:styleId="Vnbnnidung20">
    <w:name w:val="Văn bản nội dung (2)"/>
    <w:basedOn w:val="Normal"/>
    <w:link w:val="Vnbnnidung2"/>
    <w:rPr>
      <w:rFonts w:ascii="Times New Roman" w:eastAsia="Times New Roman" w:hAnsi="Times New Roman" w:cs="Times New Roman"/>
      <w:color w:val="151515"/>
      <w:sz w:val="20"/>
      <w:szCs w:val="20"/>
    </w:rPr>
  </w:style>
  <w:style w:type="table" w:styleId="TableGrid">
    <w:name w:val="Table Grid"/>
    <w:basedOn w:val="TableNormal"/>
    <w:uiPriority w:val="39"/>
    <w:rsid w:val="00E32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jNQ2lVuGrQKJV/wvITiA7NaNw==">CgMxLjA4AHIhMVhUTkxxN21ZdjEzT3VmdEs5YUc2bHhTTXJDMnpyUEZ0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3031</Characters>
  <Application>Microsoft Office Word</Application>
  <DocSecurity>0</DocSecurity>
  <Lines>101</Lines>
  <Paragraphs>85</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2024-04-29T09:24:00Z</dcterms:created>
  <dcterms:modified xsi:type="dcterms:W3CDTF">2024-05-03T04:08:00Z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ce28de123b7e61c7b65eec64bf1d24d3fc75a641235864e8a27f7b4c5e6a43e6</vt:lpwstr>
  </property>
</Properties>
</file>