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1F8FB" w14:textId="77777777" w:rsidR="00022E80" w:rsidRPr="00B842DE" w:rsidRDefault="00D26161" w:rsidP="00B842DE">
      <w:pPr>
        <w:pBdr>
          <w:top w:val="nil"/>
          <w:left w:val="nil"/>
          <w:bottom w:val="nil"/>
          <w:right w:val="nil"/>
          <w:between w:val="nil"/>
        </w:pBdr>
        <w:tabs>
          <w:tab w:val="left" w:pos="540"/>
          <w:tab w:val="left" w:pos="6122"/>
        </w:tabs>
        <w:spacing w:after="120" w:line="360" w:lineRule="auto"/>
        <w:jc w:val="both"/>
        <w:rPr>
          <w:rFonts w:ascii="Arial" w:eastAsia="Arial" w:hAnsi="Arial" w:cs="Arial"/>
          <w:b/>
          <w:color w:val="010000"/>
          <w:sz w:val="20"/>
          <w:szCs w:val="20"/>
        </w:rPr>
      </w:pPr>
      <w:r w:rsidRPr="00B842DE">
        <w:rPr>
          <w:rFonts w:ascii="Arial" w:hAnsi="Arial" w:cs="Arial"/>
          <w:b/>
          <w:color w:val="010000"/>
          <w:sz w:val="20"/>
          <w:szCs w:val="20"/>
        </w:rPr>
        <w:t>BQB: Annual General Mandate 2024</w:t>
      </w:r>
    </w:p>
    <w:p w14:paraId="42598C7A" w14:textId="77777777" w:rsidR="00022E80" w:rsidRPr="00B842DE" w:rsidRDefault="00D26161" w:rsidP="00B842DE">
      <w:pPr>
        <w:pBdr>
          <w:top w:val="nil"/>
          <w:left w:val="nil"/>
          <w:bottom w:val="nil"/>
          <w:right w:val="nil"/>
          <w:between w:val="nil"/>
        </w:pBdr>
        <w:tabs>
          <w:tab w:val="left" w:pos="540"/>
          <w:tab w:val="left" w:pos="6122"/>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 xml:space="preserve">April 24, 2024, Hanoi - </w:t>
      </w:r>
      <w:proofErr w:type="spellStart"/>
      <w:r w:rsidRPr="00B842DE">
        <w:rPr>
          <w:rFonts w:ascii="Arial" w:hAnsi="Arial" w:cs="Arial"/>
          <w:color w:val="010000"/>
          <w:sz w:val="20"/>
          <w:szCs w:val="20"/>
        </w:rPr>
        <w:t>Quang</w:t>
      </w:r>
      <w:proofErr w:type="spellEnd"/>
      <w:r w:rsidRPr="00B842DE">
        <w:rPr>
          <w:rFonts w:ascii="Arial" w:hAnsi="Arial" w:cs="Arial"/>
          <w:color w:val="010000"/>
          <w:sz w:val="20"/>
          <w:szCs w:val="20"/>
        </w:rPr>
        <w:t xml:space="preserve"> </w:t>
      </w:r>
      <w:proofErr w:type="spellStart"/>
      <w:r w:rsidRPr="00B842DE">
        <w:rPr>
          <w:rFonts w:ascii="Arial" w:hAnsi="Arial" w:cs="Arial"/>
          <w:color w:val="010000"/>
          <w:sz w:val="20"/>
          <w:szCs w:val="20"/>
        </w:rPr>
        <w:t>Binh</w:t>
      </w:r>
      <w:proofErr w:type="spellEnd"/>
      <w:r w:rsidRPr="00B842DE">
        <w:rPr>
          <w:rFonts w:ascii="Arial" w:hAnsi="Arial" w:cs="Arial"/>
          <w:color w:val="010000"/>
          <w:sz w:val="20"/>
          <w:szCs w:val="20"/>
        </w:rPr>
        <w:t xml:space="preserve"> Beer Joint Stock Company announced General Mandate No. 04/NQ-DHDCD-HQB as follows:</w:t>
      </w:r>
    </w:p>
    <w:p w14:paraId="006EEF41" w14:textId="593E3126"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 xml:space="preserve">‎‎Article 1. Approve the Report on production and business results in 2023, </w:t>
      </w:r>
      <w:r w:rsidR="004D231F" w:rsidRPr="00B842DE">
        <w:rPr>
          <w:rFonts w:ascii="Arial" w:hAnsi="Arial" w:cs="Arial"/>
          <w:color w:val="010000"/>
          <w:sz w:val="20"/>
          <w:szCs w:val="20"/>
        </w:rPr>
        <w:t xml:space="preserve">and the </w:t>
      </w:r>
      <w:r w:rsidRPr="00B842DE">
        <w:rPr>
          <w:rFonts w:ascii="Arial" w:hAnsi="Arial" w:cs="Arial"/>
          <w:color w:val="010000"/>
          <w:sz w:val="20"/>
          <w:szCs w:val="20"/>
        </w:rPr>
        <w:t>production and business plan for 2024.</w:t>
      </w:r>
    </w:p>
    <w:p w14:paraId="3ADD364E"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Production and business results:</w:t>
      </w:r>
    </w:p>
    <w:tbl>
      <w:tblPr>
        <w:tblStyle w:val="a"/>
        <w:tblW w:w="9017" w:type="dxa"/>
        <w:tblLayout w:type="fixed"/>
        <w:tblLook w:val="0400" w:firstRow="0" w:lastRow="0" w:firstColumn="0" w:lastColumn="0" w:noHBand="0" w:noVBand="1"/>
      </w:tblPr>
      <w:tblGrid>
        <w:gridCol w:w="2425"/>
        <w:gridCol w:w="1710"/>
        <w:gridCol w:w="1710"/>
        <w:gridCol w:w="1890"/>
        <w:gridCol w:w="1282"/>
      </w:tblGrid>
      <w:tr w:rsidR="00022E80" w:rsidRPr="00B842DE" w14:paraId="67F2BA89" w14:textId="77777777">
        <w:tc>
          <w:tcPr>
            <w:tcW w:w="2425" w:type="dxa"/>
            <w:vMerge w:val="restart"/>
            <w:tcBorders>
              <w:top w:val="single" w:sz="4" w:space="0" w:color="000000"/>
              <w:left w:val="single" w:sz="4" w:space="0" w:color="000000"/>
            </w:tcBorders>
            <w:shd w:val="clear" w:color="auto" w:fill="auto"/>
            <w:tcMar>
              <w:top w:w="0" w:type="dxa"/>
              <w:bottom w:w="0" w:type="dxa"/>
            </w:tcMar>
            <w:vAlign w:val="center"/>
          </w:tcPr>
          <w:p w14:paraId="53790FD3"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Targets</w:t>
            </w:r>
          </w:p>
        </w:tc>
        <w:tc>
          <w:tcPr>
            <w:tcW w:w="1710" w:type="dxa"/>
            <w:vMerge w:val="restart"/>
            <w:tcBorders>
              <w:top w:val="single" w:sz="4" w:space="0" w:color="000000"/>
              <w:left w:val="single" w:sz="4" w:space="0" w:color="000000"/>
            </w:tcBorders>
            <w:shd w:val="clear" w:color="auto" w:fill="auto"/>
            <w:tcMar>
              <w:top w:w="0" w:type="dxa"/>
              <w:bottom w:w="0" w:type="dxa"/>
            </w:tcMar>
            <w:vAlign w:val="center"/>
          </w:tcPr>
          <w:p w14:paraId="6660ED83"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2023</w:t>
            </w:r>
          </w:p>
        </w:tc>
        <w:tc>
          <w:tcPr>
            <w:tcW w:w="1710" w:type="dxa"/>
            <w:vMerge w:val="restart"/>
            <w:tcBorders>
              <w:top w:val="single" w:sz="4" w:space="0" w:color="000000"/>
              <w:left w:val="single" w:sz="4" w:space="0" w:color="000000"/>
            </w:tcBorders>
            <w:shd w:val="clear" w:color="auto" w:fill="auto"/>
            <w:tcMar>
              <w:top w:w="0" w:type="dxa"/>
              <w:bottom w:w="0" w:type="dxa"/>
            </w:tcMar>
            <w:vAlign w:val="center"/>
          </w:tcPr>
          <w:p w14:paraId="2F84AEF4"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2022</w:t>
            </w:r>
          </w:p>
        </w:tc>
        <w:tc>
          <w:tcPr>
            <w:tcW w:w="317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38A3DB" w14:textId="6468051B"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 xml:space="preserve">Comparison </w:t>
            </w:r>
            <w:r w:rsidR="00C76624" w:rsidRPr="00B842DE">
              <w:rPr>
                <w:rFonts w:ascii="Arial" w:hAnsi="Arial" w:cs="Arial"/>
                <w:color w:val="010000"/>
                <w:sz w:val="20"/>
                <w:szCs w:val="20"/>
              </w:rPr>
              <w:t xml:space="preserve">between </w:t>
            </w:r>
            <w:r w:rsidRPr="00B842DE">
              <w:rPr>
                <w:rFonts w:ascii="Arial" w:hAnsi="Arial" w:cs="Arial"/>
                <w:color w:val="010000"/>
                <w:sz w:val="20"/>
                <w:szCs w:val="20"/>
              </w:rPr>
              <w:t>2023</w:t>
            </w:r>
            <w:r w:rsidR="00C76624" w:rsidRPr="00B842DE">
              <w:rPr>
                <w:rFonts w:ascii="Arial" w:hAnsi="Arial" w:cs="Arial"/>
                <w:color w:val="010000"/>
                <w:sz w:val="20"/>
                <w:szCs w:val="20"/>
              </w:rPr>
              <w:t xml:space="preserve"> and </w:t>
            </w:r>
            <w:r w:rsidRPr="00B842DE">
              <w:rPr>
                <w:rFonts w:ascii="Arial" w:hAnsi="Arial" w:cs="Arial"/>
                <w:color w:val="010000"/>
                <w:sz w:val="20"/>
                <w:szCs w:val="20"/>
              </w:rPr>
              <w:t>2022</w:t>
            </w:r>
          </w:p>
        </w:tc>
      </w:tr>
      <w:tr w:rsidR="00022E80" w:rsidRPr="00B842DE" w14:paraId="4DCF2A55" w14:textId="77777777">
        <w:tc>
          <w:tcPr>
            <w:tcW w:w="2425" w:type="dxa"/>
            <w:vMerge/>
            <w:tcBorders>
              <w:top w:val="single" w:sz="4" w:space="0" w:color="000000"/>
              <w:left w:val="single" w:sz="4" w:space="0" w:color="000000"/>
            </w:tcBorders>
            <w:shd w:val="clear" w:color="auto" w:fill="auto"/>
            <w:tcMar>
              <w:top w:w="0" w:type="dxa"/>
              <w:bottom w:w="0" w:type="dxa"/>
            </w:tcMar>
            <w:vAlign w:val="center"/>
          </w:tcPr>
          <w:p w14:paraId="65EAF987" w14:textId="77777777" w:rsidR="00022E80" w:rsidRPr="00B842DE" w:rsidRDefault="00022E80" w:rsidP="00B842DE">
            <w:pPr>
              <w:pBdr>
                <w:top w:val="nil"/>
                <w:left w:val="nil"/>
                <w:bottom w:val="nil"/>
                <w:right w:val="nil"/>
                <w:between w:val="nil"/>
              </w:pBdr>
              <w:spacing w:line="276" w:lineRule="auto"/>
              <w:jc w:val="both"/>
              <w:rPr>
                <w:rFonts w:ascii="Arial" w:eastAsia="Arial" w:hAnsi="Arial" w:cs="Arial"/>
                <w:color w:val="010000"/>
                <w:sz w:val="20"/>
                <w:szCs w:val="20"/>
              </w:rPr>
            </w:pPr>
          </w:p>
        </w:tc>
        <w:tc>
          <w:tcPr>
            <w:tcW w:w="1710" w:type="dxa"/>
            <w:vMerge/>
            <w:tcBorders>
              <w:top w:val="single" w:sz="4" w:space="0" w:color="000000"/>
              <w:left w:val="single" w:sz="4" w:space="0" w:color="000000"/>
            </w:tcBorders>
            <w:shd w:val="clear" w:color="auto" w:fill="auto"/>
            <w:tcMar>
              <w:top w:w="0" w:type="dxa"/>
              <w:bottom w:w="0" w:type="dxa"/>
            </w:tcMar>
            <w:vAlign w:val="center"/>
          </w:tcPr>
          <w:p w14:paraId="02738F22" w14:textId="77777777" w:rsidR="00022E80" w:rsidRPr="00B842DE" w:rsidRDefault="00022E80" w:rsidP="00B842DE">
            <w:pPr>
              <w:pBdr>
                <w:top w:val="nil"/>
                <w:left w:val="nil"/>
                <w:bottom w:val="nil"/>
                <w:right w:val="nil"/>
                <w:between w:val="nil"/>
              </w:pBdr>
              <w:spacing w:line="276" w:lineRule="auto"/>
              <w:jc w:val="center"/>
              <w:rPr>
                <w:rFonts w:ascii="Arial" w:eastAsia="Arial" w:hAnsi="Arial" w:cs="Arial"/>
                <w:color w:val="010000"/>
                <w:sz w:val="20"/>
                <w:szCs w:val="20"/>
              </w:rPr>
            </w:pPr>
          </w:p>
        </w:tc>
        <w:tc>
          <w:tcPr>
            <w:tcW w:w="1710" w:type="dxa"/>
            <w:vMerge/>
            <w:tcBorders>
              <w:top w:val="single" w:sz="4" w:space="0" w:color="000000"/>
              <w:left w:val="single" w:sz="4" w:space="0" w:color="000000"/>
            </w:tcBorders>
            <w:shd w:val="clear" w:color="auto" w:fill="auto"/>
            <w:tcMar>
              <w:top w:w="0" w:type="dxa"/>
              <w:bottom w:w="0" w:type="dxa"/>
            </w:tcMar>
            <w:vAlign w:val="center"/>
          </w:tcPr>
          <w:p w14:paraId="2646ABB9" w14:textId="77777777" w:rsidR="00022E80" w:rsidRPr="00B842DE" w:rsidRDefault="00022E80" w:rsidP="00B842DE">
            <w:pPr>
              <w:pBdr>
                <w:top w:val="nil"/>
                <w:left w:val="nil"/>
                <w:bottom w:val="nil"/>
                <w:right w:val="nil"/>
                <w:between w:val="nil"/>
              </w:pBdr>
              <w:spacing w:line="276" w:lineRule="auto"/>
              <w:jc w:val="center"/>
              <w:rPr>
                <w:rFonts w:ascii="Arial" w:eastAsia="Arial" w:hAnsi="Arial" w:cs="Arial"/>
                <w:color w:val="010000"/>
                <w:sz w:val="20"/>
                <w:szCs w:val="20"/>
              </w:rPr>
            </w:pPr>
          </w:p>
        </w:tc>
        <w:tc>
          <w:tcPr>
            <w:tcW w:w="1890" w:type="dxa"/>
            <w:tcBorders>
              <w:top w:val="single" w:sz="4" w:space="0" w:color="000000"/>
              <w:left w:val="single" w:sz="4" w:space="0" w:color="000000"/>
            </w:tcBorders>
            <w:shd w:val="clear" w:color="auto" w:fill="auto"/>
            <w:tcMar>
              <w:top w:w="0" w:type="dxa"/>
              <w:bottom w:w="0" w:type="dxa"/>
            </w:tcMar>
            <w:vAlign w:val="center"/>
          </w:tcPr>
          <w:p w14:paraId="00369DAC"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Increase</w:t>
            </w:r>
          </w:p>
        </w:tc>
        <w:tc>
          <w:tcPr>
            <w:tcW w:w="128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4B8236"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Decrease</w:t>
            </w:r>
          </w:p>
        </w:tc>
      </w:tr>
      <w:tr w:rsidR="00022E80" w:rsidRPr="00B842DE" w14:paraId="7EA14263" w14:textId="77777777">
        <w:tc>
          <w:tcPr>
            <w:tcW w:w="2425" w:type="dxa"/>
            <w:tcBorders>
              <w:top w:val="single" w:sz="4" w:space="0" w:color="000000"/>
              <w:left w:val="single" w:sz="4" w:space="0" w:color="000000"/>
            </w:tcBorders>
            <w:shd w:val="clear" w:color="auto" w:fill="auto"/>
            <w:tcMar>
              <w:top w:w="0" w:type="dxa"/>
              <w:bottom w:w="0" w:type="dxa"/>
            </w:tcMar>
            <w:vAlign w:val="center"/>
          </w:tcPr>
          <w:p w14:paraId="1F97E981"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Revenue from sales of goods and services provision</w:t>
            </w:r>
          </w:p>
        </w:tc>
        <w:tc>
          <w:tcPr>
            <w:tcW w:w="1710" w:type="dxa"/>
            <w:tcBorders>
              <w:top w:val="single" w:sz="4" w:space="0" w:color="000000"/>
              <w:left w:val="single" w:sz="4" w:space="0" w:color="000000"/>
            </w:tcBorders>
            <w:shd w:val="clear" w:color="auto" w:fill="auto"/>
            <w:tcMar>
              <w:top w:w="0" w:type="dxa"/>
              <w:bottom w:w="0" w:type="dxa"/>
            </w:tcMar>
            <w:vAlign w:val="center"/>
          </w:tcPr>
          <w:p w14:paraId="21E5BF8C"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50,858,230,013</w:t>
            </w:r>
          </w:p>
        </w:tc>
        <w:tc>
          <w:tcPr>
            <w:tcW w:w="1710" w:type="dxa"/>
            <w:tcBorders>
              <w:top w:val="single" w:sz="4" w:space="0" w:color="000000"/>
              <w:left w:val="single" w:sz="4" w:space="0" w:color="000000"/>
            </w:tcBorders>
            <w:shd w:val="clear" w:color="auto" w:fill="auto"/>
            <w:tcMar>
              <w:top w:w="0" w:type="dxa"/>
              <w:bottom w:w="0" w:type="dxa"/>
            </w:tcMar>
            <w:vAlign w:val="center"/>
          </w:tcPr>
          <w:p w14:paraId="05F234DB"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24,933,252,763</w:t>
            </w:r>
          </w:p>
        </w:tc>
        <w:tc>
          <w:tcPr>
            <w:tcW w:w="1890" w:type="dxa"/>
            <w:tcBorders>
              <w:top w:val="single" w:sz="4" w:space="0" w:color="000000"/>
              <w:left w:val="single" w:sz="4" w:space="0" w:color="000000"/>
            </w:tcBorders>
            <w:shd w:val="clear" w:color="auto" w:fill="auto"/>
            <w:tcMar>
              <w:top w:w="0" w:type="dxa"/>
              <w:bottom w:w="0" w:type="dxa"/>
            </w:tcMar>
            <w:vAlign w:val="center"/>
          </w:tcPr>
          <w:p w14:paraId="37E2649D"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25,924,977,250</w:t>
            </w:r>
          </w:p>
        </w:tc>
        <w:tc>
          <w:tcPr>
            <w:tcW w:w="128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3AB793" w14:textId="77777777" w:rsidR="00022E80" w:rsidRPr="00B842DE" w:rsidRDefault="00022E80" w:rsidP="00B842DE">
            <w:pPr>
              <w:tabs>
                <w:tab w:val="left" w:pos="540"/>
              </w:tabs>
              <w:spacing w:after="120" w:line="360" w:lineRule="auto"/>
              <w:jc w:val="both"/>
              <w:rPr>
                <w:rFonts w:ascii="Arial" w:eastAsia="Arial" w:hAnsi="Arial" w:cs="Arial"/>
                <w:color w:val="010000"/>
                <w:sz w:val="20"/>
                <w:szCs w:val="20"/>
              </w:rPr>
            </w:pPr>
          </w:p>
        </w:tc>
      </w:tr>
      <w:tr w:rsidR="00022E80" w:rsidRPr="00B842DE" w14:paraId="0CA8BB4C" w14:textId="77777777">
        <w:tc>
          <w:tcPr>
            <w:tcW w:w="2425" w:type="dxa"/>
            <w:tcBorders>
              <w:top w:val="single" w:sz="4" w:space="0" w:color="000000"/>
              <w:left w:val="single" w:sz="4" w:space="0" w:color="000000"/>
            </w:tcBorders>
            <w:shd w:val="clear" w:color="auto" w:fill="auto"/>
            <w:tcMar>
              <w:top w:w="0" w:type="dxa"/>
              <w:bottom w:w="0" w:type="dxa"/>
            </w:tcMar>
            <w:vAlign w:val="center"/>
          </w:tcPr>
          <w:p w14:paraId="0B7CD4D2"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Revenue deductions</w:t>
            </w:r>
          </w:p>
        </w:tc>
        <w:tc>
          <w:tcPr>
            <w:tcW w:w="1710" w:type="dxa"/>
            <w:tcBorders>
              <w:top w:val="single" w:sz="4" w:space="0" w:color="000000"/>
              <w:left w:val="single" w:sz="4" w:space="0" w:color="000000"/>
            </w:tcBorders>
            <w:shd w:val="clear" w:color="auto" w:fill="auto"/>
            <w:tcMar>
              <w:top w:w="0" w:type="dxa"/>
              <w:bottom w:w="0" w:type="dxa"/>
            </w:tcMar>
            <w:vAlign w:val="center"/>
          </w:tcPr>
          <w:p w14:paraId="4EFD2247" w14:textId="77777777" w:rsidR="00022E80" w:rsidRPr="00B842DE" w:rsidRDefault="00022E80" w:rsidP="00B842DE">
            <w:pPr>
              <w:tabs>
                <w:tab w:val="left" w:pos="540"/>
              </w:tabs>
              <w:spacing w:after="120" w:line="360" w:lineRule="auto"/>
              <w:jc w:val="center"/>
              <w:rPr>
                <w:rFonts w:ascii="Arial" w:eastAsia="Arial" w:hAnsi="Arial" w:cs="Arial"/>
                <w:color w:val="010000"/>
                <w:sz w:val="20"/>
                <w:szCs w:val="20"/>
              </w:rPr>
            </w:pPr>
          </w:p>
        </w:tc>
        <w:tc>
          <w:tcPr>
            <w:tcW w:w="1710" w:type="dxa"/>
            <w:tcBorders>
              <w:top w:val="single" w:sz="4" w:space="0" w:color="000000"/>
              <w:left w:val="single" w:sz="4" w:space="0" w:color="000000"/>
            </w:tcBorders>
            <w:shd w:val="clear" w:color="auto" w:fill="auto"/>
            <w:tcMar>
              <w:top w:w="0" w:type="dxa"/>
              <w:bottom w:w="0" w:type="dxa"/>
            </w:tcMar>
            <w:vAlign w:val="center"/>
          </w:tcPr>
          <w:p w14:paraId="6018DB27" w14:textId="77777777" w:rsidR="00022E80" w:rsidRPr="00B842DE" w:rsidRDefault="00022E80" w:rsidP="00B842DE">
            <w:pPr>
              <w:tabs>
                <w:tab w:val="left" w:pos="540"/>
              </w:tabs>
              <w:spacing w:after="120" w:line="360" w:lineRule="auto"/>
              <w:jc w:val="center"/>
              <w:rPr>
                <w:rFonts w:ascii="Arial" w:eastAsia="Arial" w:hAnsi="Arial" w:cs="Arial"/>
                <w:color w:val="010000"/>
                <w:sz w:val="20"/>
                <w:szCs w:val="20"/>
              </w:rPr>
            </w:pPr>
          </w:p>
        </w:tc>
        <w:tc>
          <w:tcPr>
            <w:tcW w:w="1890" w:type="dxa"/>
            <w:tcBorders>
              <w:top w:val="single" w:sz="4" w:space="0" w:color="000000"/>
              <w:left w:val="single" w:sz="4" w:space="0" w:color="000000"/>
            </w:tcBorders>
            <w:shd w:val="clear" w:color="auto" w:fill="auto"/>
            <w:tcMar>
              <w:top w:w="0" w:type="dxa"/>
              <w:bottom w:w="0" w:type="dxa"/>
            </w:tcMar>
            <w:vAlign w:val="center"/>
          </w:tcPr>
          <w:p w14:paraId="349C4D72" w14:textId="77777777" w:rsidR="00022E80" w:rsidRPr="00B842DE" w:rsidRDefault="00022E80" w:rsidP="00B842DE">
            <w:pPr>
              <w:tabs>
                <w:tab w:val="left" w:pos="540"/>
              </w:tabs>
              <w:spacing w:after="120" w:line="360" w:lineRule="auto"/>
              <w:jc w:val="center"/>
              <w:rPr>
                <w:rFonts w:ascii="Arial" w:eastAsia="Arial" w:hAnsi="Arial" w:cs="Arial"/>
                <w:color w:val="010000"/>
                <w:sz w:val="20"/>
                <w:szCs w:val="20"/>
              </w:rPr>
            </w:pPr>
          </w:p>
        </w:tc>
        <w:tc>
          <w:tcPr>
            <w:tcW w:w="128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53E5EE" w14:textId="77777777" w:rsidR="00022E80" w:rsidRPr="00B842DE" w:rsidRDefault="00022E80" w:rsidP="00B842DE">
            <w:pPr>
              <w:tabs>
                <w:tab w:val="left" w:pos="540"/>
              </w:tabs>
              <w:spacing w:after="120" w:line="360" w:lineRule="auto"/>
              <w:jc w:val="both"/>
              <w:rPr>
                <w:rFonts w:ascii="Arial" w:eastAsia="Arial" w:hAnsi="Arial" w:cs="Arial"/>
                <w:color w:val="010000"/>
                <w:sz w:val="20"/>
                <w:szCs w:val="20"/>
              </w:rPr>
            </w:pPr>
          </w:p>
        </w:tc>
      </w:tr>
      <w:tr w:rsidR="00022E80" w:rsidRPr="00B842DE" w14:paraId="477E9C1A" w14:textId="77777777">
        <w:tc>
          <w:tcPr>
            <w:tcW w:w="2425" w:type="dxa"/>
            <w:tcBorders>
              <w:top w:val="single" w:sz="4" w:space="0" w:color="000000"/>
              <w:left w:val="single" w:sz="4" w:space="0" w:color="000000"/>
            </w:tcBorders>
            <w:shd w:val="clear" w:color="auto" w:fill="auto"/>
            <w:tcMar>
              <w:top w:w="0" w:type="dxa"/>
              <w:bottom w:w="0" w:type="dxa"/>
            </w:tcMar>
            <w:vAlign w:val="center"/>
          </w:tcPr>
          <w:p w14:paraId="40261260"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Net revenue from sales and service provision</w:t>
            </w:r>
          </w:p>
        </w:tc>
        <w:tc>
          <w:tcPr>
            <w:tcW w:w="1710" w:type="dxa"/>
            <w:tcBorders>
              <w:top w:val="single" w:sz="4" w:space="0" w:color="000000"/>
              <w:left w:val="single" w:sz="4" w:space="0" w:color="000000"/>
            </w:tcBorders>
            <w:shd w:val="clear" w:color="auto" w:fill="auto"/>
            <w:tcMar>
              <w:top w:w="0" w:type="dxa"/>
              <w:bottom w:w="0" w:type="dxa"/>
            </w:tcMar>
            <w:vAlign w:val="center"/>
          </w:tcPr>
          <w:p w14:paraId="0F9BB675"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50,858,230,013</w:t>
            </w:r>
          </w:p>
        </w:tc>
        <w:tc>
          <w:tcPr>
            <w:tcW w:w="1710" w:type="dxa"/>
            <w:tcBorders>
              <w:top w:val="single" w:sz="4" w:space="0" w:color="000000"/>
              <w:left w:val="single" w:sz="4" w:space="0" w:color="000000"/>
            </w:tcBorders>
            <w:shd w:val="clear" w:color="auto" w:fill="auto"/>
            <w:tcMar>
              <w:top w:w="0" w:type="dxa"/>
              <w:bottom w:w="0" w:type="dxa"/>
            </w:tcMar>
            <w:vAlign w:val="center"/>
          </w:tcPr>
          <w:p w14:paraId="63B36837"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24,933,252,763</w:t>
            </w:r>
          </w:p>
        </w:tc>
        <w:tc>
          <w:tcPr>
            <w:tcW w:w="1890" w:type="dxa"/>
            <w:tcBorders>
              <w:top w:val="single" w:sz="4" w:space="0" w:color="000000"/>
              <w:left w:val="single" w:sz="4" w:space="0" w:color="000000"/>
            </w:tcBorders>
            <w:shd w:val="clear" w:color="auto" w:fill="auto"/>
            <w:tcMar>
              <w:top w:w="0" w:type="dxa"/>
              <w:bottom w:w="0" w:type="dxa"/>
            </w:tcMar>
            <w:vAlign w:val="center"/>
          </w:tcPr>
          <w:p w14:paraId="74B1EB48"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25,924,977,250</w:t>
            </w:r>
          </w:p>
        </w:tc>
        <w:tc>
          <w:tcPr>
            <w:tcW w:w="128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9C192C" w14:textId="77777777" w:rsidR="00022E80" w:rsidRPr="00B842DE" w:rsidRDefault="00022E80" w:rsidP="00B842DE">
            <w:pPr>
              <w:tabs>
                <w:tab w:val="left" w:pos="540"/>
              </w:tabs>
              <w:spacing w:after="120" w:line="360" w:lineRule="auto"/>
              <w:jc w:val="both"/>
              <w:rPr>
                <w:rFonts w:ascii="Arial" w:eastAsia="Arial" w:hAnsi="Arial" w:cs="Arial"/>
                <w:color w:val="010000"/>
                <w:sz w:val="20"/>
                <w:szCs w:val="20"/>
              </w:rPr>
            </w:pPr>
          </w:p>
        </w:tc>
      </w:tr>
      <w:tr w:rsidR="00022E80" w:rsidRPr="00B842DE" w14:paraId="2F5DCEB8" w14:textId="77777777">
        <w:tc>
          <w:tcPr>
            <w:tcW w:w="2425" w:type="dxa"/>
            <w:tcBorders>
              <w:top w:val="single" w:sz="4" w:space="0" w:color="000000"/>
              <w:left w:val="single" w:sz="4" w:space="0" w:color="000000"/>
            </w:tcBorders>
            <w:shd w:val="clear" w:color="auto" w:fill="auto"/>
            <w:tcMar>
              <w:top w:w="0" w:type="dxa"/>
              <w:bottom w:w="0" w:type="dxa"/>
            </w:tcMar>
            <w:vAlign w:val="center"/>
          </w:tcPr>
          <w:p w14:paraId="5F377998"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Cost of goods sold</w:t>
            </w:r>
          </w:p>
        </w:tc>
        <w:tc>
          <w:tcPr>
            <w:tcW w:w="1710" w:type="dxa"/>
            <w:tcBorders>
              <w:top w:val="single" w:sz="4" w:space="0" w:color="000000"/>
              <w:left w:val="single" w:sz="4" w:space="0" w:color="000000"/>
            </w:tcBorders>
            <w:shd w:val="clear" w:color="auto" w:fill="auto"/>
            <w:tcMar>
              <w:top w:w="0" w:type="dxa"/>
              <w:bottom w:w="0" w:type="dxa"/>
            </w:tcMar>
            <w:vAlign w:val="center"/>
          </w:tcPr>
          <w:p w14:paraId="6E40A87D"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47,421,957,457</w:t>
            </w:r>
          </w:p>
        </w:tc>
        <w:tc>
          <w:tcPr>
            <w:tcW w:w="1710" w:type="dxa"/>
            <w:tcBorders>
              <w:top w:val="single" w:sz="4" w:space="0" w:color="000000"/>
              <w:left w:val="single" w:sz="4" w:space="0" w:color="000000"/>
            </w:tcBorders>
            <w:shd w:val="clear" w:color="auto" w:fill="auto"/>
            <w:tcMar>
              <w:top w:w="0" w:type="dxa"/>
              <w:bottom w:w="0" w:type="dxa"/>
            </w:tcMar>
            <w:vAlign w:val="center"/>
          </w:tcPr>
          <w:p w14:paraId="418CAF4F"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27,857,038,683</w:t>
            </w:r>
          </w:p>
        </w:tc>
        <w:tc>
          <w:tcPr>
            <w:tcW w:w="1890" w:type="dxa"/>
            <w:tcBorders>
              <w:top w:val="single" w:sz="4" w:space="0" w:color="000000"/>
              <w:left w:val="single" w:sz="4" w:space="0" w:color="000000"/>
            </w:tcBorders>
            <w:shd w:val="clear" w:color="auto" w:fill="auto"/>
            <w:tcMar>
              <w:top w:w="0" w:type="dxa"/>
              <w:bottom w:w="0" w:type="dxa"/>
            </w:tcMar>
            <w:vAlign w:val="center"/>
          </w:tcPr>
          <w:p w14:paraId="4D2E32C1"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19,564,918,774</w:t>
            </w:r>
          </w:p>
        </w:tc>
        <w:tc>
          <w:tcPr>
            <w:tcW w:w="128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5DF3C7" w14:textId="77777777" w:rsidR="00022E80" w:rsidRPr="00B842DE" w:rsidRDefault="00022E80" w:rsidP="00B842DE">
            <w:pPr>
              <w:tabs>
                <w:tab w:val="left" w:pos="540"/>
              </w:tabs>
              <w:spacing w:after="120" w:line="360" w:lineRule="auto"/>
              <w:jc w:val="both"/>
              <w:rPr>
                <w:rFonts w:ascii="Arial" w:eastAsia="Arial" w:hAnsi="Arial" w:cs="Arial"/>
                <w:color w:val="010000"/>
                <w:sz w:val="20"/>
                <w:szCs w:val="20"/>
              </w:rPr>
            </w:pPr>
          </w:p>
        </w:tc>
      </w:tr>
      <w:tr w:rsidR="00022E80" w:rsidRPr="00B842DE" w14:paraId="59722258" w14:textId="77777777">
        <w:tc>
          <w:tcPr>
            <w:tcW w:w="2425" w:type="dxa"/>
            <w:tcBorders>
              <w:top w:val="single" w:sz="4" w:space="0" w:color="000000"/>
              <w:left w:val="single" w:sz="4" w:space="0" w:color="000000"/>
            </w:tcBorders>
            <w:shd w:val="clear" w:color="auto" w:fill="auto"/>
            <w:tcMar>
              <w:top w:w="0" w:type="dxa"/>
              <w:bottom w:w="0" w:type="dxa"/>
            </w:tcMar>
            <w:vAlign w:val="center"/>
          </w:tcPr>
          <w:p w14:paraId="3CD02FE1"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Gross profit from goods sales and service provision</w:t>
            </w:r>
          </w:p>
        </w:tc>
        <w:tc>
          <w:tcPr>
            <w:tcW w:w="1710" w:type="dxa"/>
            <w:tcBorders>
              <w:top w:val="single" w:sz="4" w:space="0" w:color="000000"/>
              <w:left w:val="single" w:sz="4" w:space="0" w:color="000000"/>
            </w:tcBorders>
            <w:shd w:val="clear" w:color="auto" w:fill="auto"/>
            <w:tcMar>
              <w:top w:w="0" w:type="dxa"/>
              <w:bottom w:w="0" w:type="dxa"/>
            </w:tcMar>
            <w:vAlign w:val="center"/>
          </w:tcPr>
          <w:p w14:paraId="19C99419"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3,436,272,556</w:t>
            </w:r>
          </w:p>
        </w:tc>
        <w:tc>
          <w:tcPr>
            <w:tcW w:w="1710" w:type="dxa"/>
            <w:tcBorders>
              <w:top w:val="single" w:sz="4" w:space="0" w:color="000000"/>
              <w:left w:val="single" w:sz="4" w:space="0" w:color="000000"/>
            </w:tcBorders>
            <w:shd w:val="clear" w:color="auto" w:fill="auto"/>
            <w:tcMar>
              <w:top w:w="0" w:type="dxa"/>
              <w:bottom w:w="0" w:type="dxa"/>
            </w:tcMar>
            <w:vAlign w:val="center"/>
          </w:tcPr>
          <w:p w14:paraId="65432FE3"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(2,923,785,920)</w:t>
            </w:r>
          </w:p>
        </w:tc>
        <w:tc>
          <w:tcPr>
            <w:tcW w:w="1890" w:type="dxa"/>
            <w:tcBorders>
              <w:top w:val="single" w:sz="4" w:space="0" w:color="000000"/>
              <w:left w:val="single" w:sz="4" w:space="0" w:color="000000"/>
            </w:tcBorders>
            <w:shd w:val="clear" w:color="auto" w:fill="auto"/>
            <w:tcMar>
              <w:top w:w="0" w:type="dxa"/>
              <w:bottom w:w="0" w:type="dxa"/>
            </w:tcMar>
            <w:vAlign w:val="center"/>
          </w:tcPr>
          <w:p w14:paraId="5D910921"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6,360,058,476</w:t>
            </w:r>
          </w:p>
        </w:tc>
        <w:tc>
          <w:tcPr>
            <w:tcW w:w="128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1825E2" w14:textId="77777777" w:rsidR="00022E80" w:rsidRPr="00B842DE" w:rsidRDefault="00022E80" w:rsidP="00B842DE">
            <w:pPr>
              <w:tabs>
                <w:tab w:val="left" w:pos="540"/>
              </w:tabs>
              <w:spacing w:after="120" w:line="360" w:lineRule="auto"/>
              <w:jc w:val="both"/>
              <w:rPr>
                <w:rFonts w:ascii="Arial" w:eastAsia="Arial" w:hAnsi="Arial" w:cs="Arial"/>
                <w:color w:val="010000"/>
                <w:sz w:val="20"/>
                <w:szCs w:val="20"/>
              </w:rPr>
            </w:pPr>
          </w:p>
        </w:tc>
      </w:tr>
      <w:tr w:rsidR="00022E80" w:rsidRPr="00B842DE" w14:paraId="2B4FCA57" w14:textId="77777777">
        <w:tc>
          <w:tcPr>
            <w:tcW w:w="2425" w:type="dxa"/>
            <w:tcBorders>
              <w:top w:val="single" w:sz="4" w:space="0" w:color="000000"/>
              <w:left w:val="single" w:sz="4" w:space="0" w:color="000000"/>
            </w:tcBorders>
            <w:shd w:val="clear" w:color="auto" w:fill="auto"/>
            <w:tcMar>
              <w:top w:w="0" w:type="dxa"/>
              <w:bottom w:w="0" w:type="dxa"/>
            </w:tcMar>
            <w:vAlign w:val="center"/>
          </w:tcPr>
          <w:p w14:paraId="0A9C829B"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Financial revenue</w:t>
            </w:r>
          </w:p>
        </w:tc>
        <w:tc>
          <w:tcPr>
            <w:tcW w:w="1710" w:type="dxa"/>
            <w:tcBorders>
              <w:top w:val="single" w:sz="4" w:space="0" w:color="000000"/>
              <w:left w:val="single" w:sz="4" w:space="0" w:color="000000"/>
            </w:tcBorders>
            <w:shd w:val="clear" w:color="auto" w:fill="auto"/>
            <w:tcMar>
              <w:top w:w="0" w:type="dxa"/>
              <w:bottom w:w="0" w:type="dxa"/>
            </w:tcMar>
            <w:vAlign w:val="center"/>
          </w:tcPr>
          <w:p w14:paraId="314B38B8"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71,977,160</w:t>
            </w:r>
          </w:p>
        </w:tc>
        <w:tc>
          <w:tcPr>
            <w:tcW w:w="1710" w:type="dxa"/>
            <w:tcBorders>
              <w:top w:val="single" w:sz="4" w:space="0" w:color="000000"/>
              <w:left w:val="single" w:sz="4" w:space="0" w:color="000000"/>
            </w:tcBorders>
            <w:shd w:val="clear" w:color="auto" w:fill="auto"/>
            <w:tcMar>
              <w:top w:w="0" w:type="dxa"/>
              <w:bottom w:w="0" w:type="dxa"/>
            </w:tcMar>
            <w:vAlign w:val="center"/>
          </w:tcPr>
          <w:p w14:paraId="2DCBBE77"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68,578,477</w:t>
            </w:r>
          </w:p>
        </w:tc>
        <w:tc>
          <w:tcPr>
            <w:tcW w:w="1890" w:type="dxa"/>
            <w:tcBorders>
              <w:top w:val="single" w:sz="4" w:space="0" w:color="000000"/>
              <w:left w:val="single" w:sz="4" w:space="0" w:color="000000"/>
            </w:tcBorders>
            <w:shd w:val="clear" w:color="auto" w:fill="auto"/>
            <w:tcMar>
              <w:top w:w="0" w:type="dxa"/>
              <w:bottom w:w="0" w:type="dxa"/>
            </w:tcMar>
            <w:vAlign w:val="center"/>
          </w:tcPr>
          <w:p w14:paraId="7C56A9FA"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3,398,683</w:t>
            </w:r>
          </w:p>
        </w:tc>
        <w:tc>
          <w:tcPr>
            <w:tcW w:w="128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C3D85A" w14:textId="77777777" w:rsidR="00022E80" w:rsidRPr="00B842DE" w:rsidRDefault="00022E80" w:rsidP="00B842DE">
            <w:pPr>
              <w:tabs>
                <w:tab w:val="left" w:pos="540"/>
              </w:tabs>
              <w:spacing w:after="120" w:line="360" w:lineRule="auto"/>
              <w:jc w:val="both"/>
              <w:rPr>
                <w:rFonts w:ascii="Arial" w:eastAsia="Arial" w:hAnsi="Arial" w:cs="Arial"/>
                <w:color w:val="010000"/>
                <w:sz w:val="20"/>
                <w:szCs w:val="20"/>
              </w:rPr>
            </w:pPr>
          </w:p>
        </w:tc>
      </w:tr>
      <w:tr w:rsidR="00022E80" w:rsidRPr="00B842DE" w14:paraId="4B135AD8" w14:textId="77777777">
        <w:tc>
          <w:tcPr>
            <w:tcW w:w="2425" w:type="dxa"/>
            <w:tcBorders>
              <w:top w:val="single" w:sz="4" w:space="0" w:color="000000"/>
              <w:left w:val="single" w:sz="4" w:space="0" w:color="000000"/>
            </w:tcBorders>
            <w:shd w:val="clear" w:color="auto" w:fill="auto"/>
            <w:tcMar>
              <w:top w:w="0" w:type="dxa"/>
              <w:bottom w:w="0" w:type="dxa"/>
            </w:tcMar>
            <w:vAlign w:val="center"/>
          </w:tcPr>
          <w:p w14:paraId="2F1236AF" w14:textId="0598D0BA"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Financial expenses</w:t>
            </w:r>
          </w:p>
        </w:tc>
        <w:tc>
          <w:tcPr>
            <w:tcW w:w="1710" w:type="dxa"/>
            <w:tcBorders>
              <w:top w:val="single" w:sz="4" w:space="0" w:color="000000"/>
              <w:left w:val="single" w:sz="4" w:space="0" w:color="000000"/>
            </w:tcBorders>
            <w:shd w:val="clear" w:color="auto" w:fill="auto"/>
            <w:tcMar>
              <w:top w:w="0" w:type="dxa"/>
              <w:bottom w:w="0" w:type="dxa"/>
            </w:tcMar>
            <w:vAlign w:val="center"/>
          </w:tcPr>
          <w:p w14:paraId="68C8B190" w14:textId="77777777" w:rsidR="00022E80" w:rsidRPr="00B842DE" w:rsidRDefault="00022E80" w:rsidP="00B842DE">
            <w:pPr>
              <w:tabs>
                <w:tab w:val="left" w:pos="540"/>
              </w:tabs>
              <w:spacing w:after="120" w:line="360" w:lineRule="auto"/>
              <w:jc w:val="center"/>
              <w:rPr>
                <w:rFonts w:ascii="Arial" w:eastAsia="Arial" w:hAnsi="Arial" w:cs="Arial"/>
                <w:color w:val="010000"/>
                <w:sz w:val="20"/>
                <w:szCs w:val="20"/>
              </w:rPr>
            </w:pPr>
          </w:p>
        </w:tc>
        <w:tc>
          <w:tcPr>
            <w:tcW w:w="1710" w:type="dxa"/>
            <w:tcBorders>
              <w:top w:val="single" w:sz="4" w:space="0" w:color="000000"/>
              <w:left w:val="single" w:sz="4" w:space="0" w:color="000000"/>
            </w:tcBorders>
            <w:shd w:val="clear" w:color="auto" w:fill="auto"/>
            <w:tcMar>
              <w:top w:w="0" w:type="dxa"/>
              <w:bottom w:w="0" w:type="dxa"/>
            </w:tcMar>
            <w:vAlign w:val="center"/>
          </w:tcPr>
          <w:p w14:paraId="7650C0EB" w14:textId="77777777" w:rsidR="00022E80" w:rsidRPr="00B842DE" w:rsidRDefault="00022E80" w:rsidP="00B842DE">
            <w:pPr>
              <w:tabs>
                <w:tab w:val="left" w:pos="540"/>
              </w:tabs>
              <w:spacing w:after="120" w:line="360" w:lineRule="auto"/>
              <w:jc w:val="center"/>
              <w:rPr>
                <w:rFonts w:ascii="Arial" w:eastAsia="Arial" w:hAnsi="Arial" w:cs="Arial"/>
                <w:color w:val="010000"/>
                <w:sz w:val="20"/>
                <w:szCs w:val="20"/>
              </w:rPr>
            </w:pPr>
          </w:p>
        </w:tc>
        <w:tc>
          <w:tcPr>
            <w:tcW w:w="1890" w:type="dxa"/>
            <w:tcBorders>
              <w:top w:val="single" w:sz="4" w:space="0" w:color="000000"/>
              <w:left w:val="single" w:sz="4" w:space="0" w:color="000000"/>
            </w:tcBorders>
            <w:shd w:val="clear" w:color="auto" w:fill="auto"/>
            <w:tcMar>
              <w:top w:w="0" w:type="dxa"/>
              <w:bottom w:w="0" w:type="dxa"/>
            </w:tcMar>
            <w:vAlign w:val="center"/>
          </w:tcPr>
          <w:p w14:paraId="1305EEE3" w14:textId="77777777" w:rsidR="00022E80" w:rsidRPr="00B842DE" w:rsidRDefault="00022E80" w:rsidP="00B842DE">
            <w:pPr>
              <w:tabs>
                <w:tab w:val="left" w:pos="540"/>
              </w:tabs>
              <w:spacing w:after="120" w:line="360" w:lineRule="auto"/>
              <w:jc w:val="center"/>
              <w:rPr>
                <w:rFonts w:ascii="Arial" w:eastAsia="Arial" w:hAnsi="Arial" w:cs="Arial"/>
                <w:color w:val="010000"/>
                <w:sz w:val="20"/>
                <w:szCs w:val="20"/>
              </w:rPr>
            </w:pPr>
          </w:p>
        </w:tc>
        <w:tc>
          <w:tcPr>
            <w:tcW w:w="128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AA2326" w14:textId="77777777" w:rsidR="00022E80" w:rsidRPr="00B842DE" w:rsidRDefault="00022E80" w:rsidP="00B842DE">
            <w:pPr>
              <w:tabs>
                <w:tab w:val="left" w:pos="540"/>
              </w:tabs>
              <w:spacing w:after="120" w:line="360" w:lineRule="auto"/>
              <w:jc w:val="both"/>
              <w:rPr>
                <w:rFonts w:ascii="Arial" w:eastAsia="Arial" w:hAnsi="Arial" w:cs="Arial"/>
                <w:color w:val="010000"/>
                <w:sz w:val="20"/>
                <w:szCs w:val="20"/>
              </w:rPr>
            </w:pPr>
          </w:p>
        </w:tc>
      </w:tr>
      <w:tr w:rsidR="00022E80" w:rsidRPr="00B842DE" w14:paraId="0DC20C40" w14:textId="77777777">
        <w:tc>
          <w:tcPr>
            <w:tcW w:w="2425" w:type="dxa"/>
            <w:tcBorders>
              <w:top w:val="single" w:sz="4" w:space="0" w:color="000000"/>
              <w:left w:val="single" w:sz="4" w:space="0" w:color="000000"/>
            </w:tcBorders>
            <w:shd w:val="clear" w:color="auto" w:fill="auto"/>
            <w:tcMar>
              <w:top w:w="0" w:type="dxa"/>
              <w:bottom w:w="0" w:type="dxa"/>
            </w:tcMar>
            <w:vAlign w:val="center"/>
          </w:tcPr>
          <w:p w14:paraId="4090FBD7"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Selling expenses:</w:t>
            </w:r>
          </w:p>
        </w:tc>
        <w:tc>
          <w:tcPr>
            <w:tcW w:w="1710" w:type="dxa"/>
            <w:tcBorders>
              <w:top w:val="single" w:sz="4" w:space="0" w:color="000000"/>
              <w:left w:val="single" w:sz="4" w:space="0" w:color="000000"/>
            </w:tcBorders>
            <w:shd w:val="clear" w:color="auto" w:fill="auto"/>
            <w:tcMar>
              <w:top w:w="0" w:type="dxa"/>
              <w:bottom w:w="0" w:type="dxa"/>
            </w:tcMar>
            <w:vAlign w:val="center"/>
          </w:tcPr>
          <w:p w14:paraId="151A4C1D" w14:textId="5DE2FAA1"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2,944</w:t>
            </w:r>
            <w:r w:rsidR="00C76624" w:rsidRPr="00B842DE">
              <w:rPr>
                <w:rFonts w:ascii="Arial" w:hAnsi="Arial" w:cs="Arial"/>
                <w:color w:val="010000"/>
                <w:sz w:val="20"/>
                <w:szCs w:val="20"/>
              </w:rPr>
              <w:t>,</w:t>
            </w:r>
            <w:r w:rsidRPr="00B842DE">
              <w:rPr>
                <w:rFonts w:ascii="Arial" w:hAnsi="Arial" w:cs="Arial"/>
                <w:color w:val="010000"/>
                <w:sz w:val="20"/>
                <w:szCs w:val="20"/>
              </w:rPr>
              <w:t>135,074</w:t>
            </w:r>
          </w:p>
        </w:tc>
        <w:tc>
          <w:tcPr>
            <w:tcW w:w="1710" w:type="dxa"/>
            <w:tcBorders>
              <w:top w:val="single" w:sz="4" w:space="0" w:color="000000"/>
              <w:left w:val="single" w:sz="4" w:space="0" w:color="000000"/>
            </w:tcBorders>
            <w:shd w:val="clear" w:color="auto" w:fill="auto"/>
            <w:tcMar>
              <w:top w:w="0" w:type="dxa"/>
              <w:bottom w:w="0" w:type="dxa"/>
            </w:tcMar>
            <w:vAlign w:val="center"/>
          </w:tcPr>
          <w:p w14:paraId="2CE6A251"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2,596,730,601</w:t>
            </w:r>
          </w:p>
        </w:tc>
        <w:tc>
          <w:tcPr>
            <w:tcW w:w="1890" w:type="dxa"/>
            <w:tcBorders>
              <w:top w:val="single" w:sz="4" w:space="0" w:color="000000"/>
              <w:left w:val="single" w:sz="4" w:space="0" w:color="000000"/>
            </w:tcBorders>
            <w:shd w:val="clear" w:color="auto" w:fill="auto"/>
            <w:tcMar>
              <w:top w:w="0" w:type="dxa"/>
              <w:bottom w:w="0" w:type="dxa"/>
            </w:tcMar>
            <w:vAlign w:val="center"/>
          </w:tcPr>
          <w:p w14:paraId="26EDD698"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347,404,473</w:t>
            </w:r>
          </w:p>
        </w:tc>
        <w:tc>
          <w:tcPr>
            <w:tcW w:w="128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4E3E8B" w14:textId="77777777" w:rsidR="00022E80" w:rsidRPr="00B842DE" w:rsidRDefault="00022E80" w:rsidP="00B842DE">
            <w:pPr>
              <w:tabs>
                <w:tab w:val="left" w:pos="540"/>
              </w:tabs>
              <w:spacing w:after="120" w:line="360" w:lineRule="auto"/>
              <w:jc w:val="both"/>
              <w:rPr>
                <w:rFonts w:ascii="Arial" w:eastAsia="Arial" w:hAnsi="Arial" w:cs="Arial"/>
                <w:color w:val="010000"/>
                <w:sz w:val="20"/>
                <w:szCs w:val="20"/>
              </w:rPr>
            </w:pPr>
          </w:p>
        </w:tc>
      </w:tr>
      <w:tr w:rsidR="00022E80" w:rsidRPr="00B842DE" w14:paraId="4EA07202" w14:textId="77777777">
        <w:tc>
          <w:tcPr>
            <w:tcW w:w="2425" w:type="dxa"/>
            <w:tcBorders>
              <w:top w:val="single" w:sz="4" w:space="0" w:color="000000"/>
              <w:left w:val="single" w:sz="4" w:space="0" w:color="000000"/>
            </w:tcBorders>
            <w:shd w:val="clear" w:color="auto" w:fill="auto"/>
            <w:tcMar>
              <w:top w:w="0" w:type="dxa"/>
              <w:bottom w:w="0" w:type="dxa"/>
            </w:tcMar>
            <w:vAlign w:val="center"/>
          </w:tcPr>
          <w:p w14:paraId="685CBE1A"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General and administrative expense</w:t>
            </w:r>
          </w:p>
        </w:tc>
        <w:tc>
          <w:tcPr>
            <w:tcW w:w="1710" w:type="dxa"/>
            <w:tcBorders>
              <w:top w:val="single" w:sz="4" w:space="0" w:color="000000"/>
              <w:left w:val="single" w:sz="4" w:space="0" w:color="000000"/>
            </w:tcBorders>
            <w:shd w:val="clear" w:color="auto" w:fill="auto"/>
            <w:tcMar>
              <w:top w:w="0" w:type="dxa"/>
              <w:bottom w:w="0" w:type="dxa"/>
            </w:tcMar>
            <w:vAlign w:val="center"/>
          </w:tcPr>
          <w:p w14:paraId="48F5D6E4"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5,128,420,253</w:t>
            </w:r>
          </w:p>
        </w:tc>
        <w:tc>
          <w:tcPr>
            <w:tcW w:w="1710" w:type="dxa"/>
            <w:tcBorders>
              <w:top w:val="single" w:sz="4" w:space="0" w:color="000000"/>
              <w:left w:val="single" w:sz="4" w:space="0" w:color="000000"/>
            </w:tcBorders>
            <w:shd w:val="clear" w:color="auto" w:fill="auto"/>
            <w:tcMar>
              <w:top w:w="0" w:type="dxa"/>
              <w:bottom w:w="0" w:type="dxa"/>
            </w:tcMar>
            <w:vAlign w:val="center"/>
          </w:tcPr>
          <w:p w14:paraId="1A41D4CD"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4,851,143,522</w:t>
            </w:r>
          </w:p>
        </w:tc>
        <w:tc>
          <w:tcPr>
            <w:tcW w:w="1890" w:type="dxa"/>
            <w:tcBorders>
              <w:top w:val="single" w:sz="4" w:space="0" w:color="000000"/>
              <w:left w:val="single" w:sz="4" w:space="0" w:color="000000"/>
            </w:tcBorders>
            <w:shd w:val="clear" w:color="auto" w:fill="auto"/>
            <w:tcMar>
              <w:top w:w="0" w:type="dxa"/>
              <w:bottom w:w="0" w:type="dxa"/>
            </w:tcMar>
            <w:vAlign w:val="center"/>
          </w:tcPr>
          <w:p w14:paraId="6A8D8C7E"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277,276,731</w:t>
            </w:r>
          </w:p>
        </w:tc>
        <w:tc>
          <w:tcPr>
            <w:tcW w:w="128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53BDAD" w14:textId="77777777" w:rsidR="00022E80" w:rsidRPr="00B842DE" w:rsidRDefault="00022E80" w:rsidP="00B842DE">
            <w:pPr>
              <w:tabs>
                <w:tab w:val="left" w:pos="540"/>
              </w:tabs>
              <w:spacing w:after="120" w:line="360" w:lineRule="auto"/>
              <w:jc w:val="both"/>
              <w:rPr>
                <w:rFonts w:ascii="Arial" w:eastAsia="Arial" w:hAnsi="Arial" w:cs="Arial"/>
                <w:color w:val="010000"/>
                <w:sz w:val="20"/>
                <w:szCs w:val="20"/>
              </w:rPr>
            </w:pPr>
          </w:p>
        </w:tc>
      </w:tr>
      <w:tr w:rsidR="00022E80" w:rsidRPr="00B842DE" w14:paraId="6235F509" w14:textId="77777777">
        <w:tc>
          <w:tcPr>
            <w:tcW w:w="242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42A099"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Net profit from business activities</w:t>
            </w:r>
          </w:p>
        </w:tc>
        <w:tc>
          <w:tcPr>
            <w:tcW w:w="17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1800AD"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(4,564,285,611)</w:t>
            </w:r>
          </w:p>
        </w:tc>
        <w:tc>
          <w:tcPr>
            <w:tcW w:w="17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DEA052"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(10,303,240,471)</w:t>
            </w:r>
          </w:p>
        </w:tc>
        <w:tc>
          <w:tcPr>
            <w:tcW w:w="18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B961D2"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5,692,418,519</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EAB531" w14:textId="77777777" w:rsidR="00022E80" w:rsidRPr="00B842DE" w:rsidRDefault="00022E80" w:rsidP="00B842DE">
            <w:pPr>
              <w:tabs>
                <w:tab w:val="left" w:pos="540"/>
              </w:tabs>
              <w:spacing w:after="120" w:line="360" w:lineRule="auto"/>
              <w:jc w:val="both"/>
              <w:rPr>
                <w:rFonts w:ascii="Arial" w:eastAsia="Arial" w:hAnsi="Arial" w:cs="Arial"/>
                <w:color w:val="010000"/>
                <w:sz w:val="20"/>
                <w:szCs w:val="20"/>
              </w:rPr>
            </w:pPr>
          </w:p>
        </w:tc>
      </w:tr>
      <w:tr w:rsidR="00022E80" w:rsidRPr="00B842DE" w14:paraId="3A0BDF13" w14:textId="77777777">
        <w:tc>
          <w:tcPr>
            <w:tcW w:w="2425" w:type="dxa"/>
            <w:tcBorders>
              <w:top w:val="single" w:sz="4" w:space="0" w:color="000000"/>
              <w:left w:val="single" w:sz="4" w:space="0" w:color="000000"/>
            </w:tcBorders>
            <w:shd w:val="clear" w:color="auto" w:fill="auto"/>
            <w:tcMar>
              <w:top w:w="0" w:type="dxa"/>
              <w:bottom w:w="0" w:type="dxa"/>
            </w:tcMar>
            <w:vAlign w:val="center"/>
          </w:tcPr>
          <w:p w14:paraId="4B064B1C" w14:textId="7E35C709" w:rsidR="00022E80" w:rsidRPr="00B842DE" w:rsidRDefault="003015E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Other incomes</w:t>
            </w:r>
          </w:p>
        </w:tc>
        <w:tc>
          <w:tcPr>
            <w:tcW w:w="1710" w:type="dxa"/>
            <w:tcBorders>
              <w:top w:val="single" w:sz="4" w:space="0" w:color="000000"/>
              <w:left w:val="single" w:sz="4" w:space="0" w:color="000000"/>
            </w:tcBorders>
            <w:shd w:val="clear" w:color="auto" w:fill="auto"/>
            <w:tcMar>
              <w:top w:w="0" w:type="dxa"/>
              <w:bottom w:w="0" w:type="dxa"/>
            </w:tcMar>
            <w:vAlign w:val="center"/>
          </w:tcPr>
          <w:p w14:paraId="4B7C6024"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0</w:t>
            </w:r>
          </w:p>
        </w:tc>
        <w:tc>
          <w:tcPr>
            <w:tcW w:w="1710" w:type="dxa"/>
            <w:tcBorders>
              <w:top w:val="single" w:sz="4" w:space="0" w:color="000000"/>
              <w:left w:val="single" w:sz="4" w:space="0" w:color="000000"/>
            </w:tcBorders>
            <w:shd w:val="clear" w:color="auto" w:fill="auto"/>
            <w:tcMar>
              <w:top w:w="0" w:type="dxa"/>
              <w:bottom w:w="0" w:type="dxa"/>
            </w:tcMar>
            <w:vAlign w:val="center"/>
          </w:tcPr>
          <w:p w14:paraId="7D811F4A"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62,642,963</w:t>
            </w:r>
          </w:p>
        </w:tc>
        <w:tc>
          <w:tcPr>
            <w:tcW w:w="1890" w:type="dxa"/>
            <w:tcBorders>
              <w:top w:val="single" w:sz="4" w:space="0" w:color="000000"/>
              <w:left w:val="single" w:sz="4" w:space="0" w:color="000000"/>
            </w:tcBorders>
            <w:shd w:val="clear" w:color="auto" w:fill="auto"/>
            <w:tcMar>
              <w:top w:w="0" w:type="dxa"/>
              <w:bottom w:w="0" w:type="dxa"/>
            </w:tcMar>
            <w:vAlign w:val="center"/>
          </w:tcPr>
          <w:p w14:paraId="5D9A4E65" w14:textId="77777777" w:rsidR="00022E80" w:rsidRPr="00B842DE" w:rsidRDefault="00022E80" w:rsidP="00B842DE">
            <w:pPr>
              <w:tabs>
                <w:tab w:val="left" w:pos="540"/>
              </w:tabs>
              <w:spacing w:after="120" w:line="360" w:lineRule="auto"/>
              <w:jc w:val="center"/>
              <w:rPr>
                <w:rFonts w:ascii="Arial" w:eastAsia="Arial" w:hAnsi="Arial" w:cs="Arial"/>
                <w:color w:val="010000"/>
                <w:sz w:val="20"/>
                <w:szCs w:val="20"/>
              </w:rPr>
            </w:pPr>
          </w:p>
        </w:tc>
        <w:tc>
          <w:tcPr>
            <w:tcW w:w="128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BE63EB" w14:textId="77777777" w:rsidR="00022E80" w:rsidRPr="00B842DE" w:rsidRDefault="00022E80" w:rsidP="00B842DE">
            <w:pPr>
              <w:tabs>
                <w:tab w:val="left" w:pos="540"/>
              </w:tabs>
              <w:spacing w:after="120" w:line="360" w:lineRule="auto"/>
              <w:jc w:val="both"/>
              <w:rPr>
                <w:rFonts w:ascii="Arial" w:eastAsia="Arial" w:hAnsi="Arial" w:cs="Arial"/>
                <w:color w:val="010000"/>
                <w:sz w:val="20"/>
                <w:szCs w:val="20"/>
              </w:rPr>
            </w:pPr>
          </w:p>
        </w:tc>
      </w:tr>
      <w:tr w:rsidR="00022E80" w:rsidRPr="00B842DE" w14:paraId="64800A9C" w14:textId="77777777">
        <w:tc>
          <w:tcPr>
            <w:tcW w:w="2425" w:type="dxa"/>
            <w:tcBorders>
              <w:top w:val="single" w:sz="4" w:space="0" w:color="000000"/>
              <w:left w:val="single" w:sz="4" w:space="0" w:color="000000"/>
            </w:tcBorders>
            <w:shd w:val="clear" w:color="auto" w:fill="auto"/>
            <w:tcMar>
              <w:top w:w="0" w:type="dxa"/>
              <w:bottom w:w="0" w:type="dxa"/>
            </w:tcMar>
            <w:vAlign w:val="center"/>
          </w:tcPr>
          <w:p w14:paraId="7479B849" w14:textId="47ABDB8A" w:rsidR="00022E80" w:rsidRPr="00B842DE" w:rsidRDefault="003015E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Pr>
                <w:rFonts w:ascii="Arial" w:hAnsi="Arial" w:cs="Arial"/>
                <w:color w:val="010000"/>
                <w:sz w:val="20"/>
                <w:szCs w:val="20"/>
              </w:rPr>
              <w:t>Other expenses</w:t>
            </w:r>
          </w:p>
        </w:tc>
        <w:tc>
          <w:tcPr>
            <w:tcW w:w="1710" w:type="dxa"/>
            <w:tcBorders>
              <w:top w:val="single" w:sz="4" w:space="0" w:color="000000"/>
              <w:left w:val="single" w:sz="4" w:space="0" w:color="000000"/>
            </w:tcBorders>
            <w:shd w:val="clear" w:color="auto" w:fill="auto"/>
            <w:tcMar>
              <w:top w:w="0" w:type="dxa"/>
              <w:bottom w:w="0" w:type="dxa"/>
            </w:tcMar>
            <w:vAlign w:val="center"/>
          </w:tcPr>
          <w:p w14:paraId="7C9FC74B"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16,590,922</w:t>
            </w:r>
          </w:p>
        </w:tc>
        <w:tc>
          <w:tcPr>
            <w:tcW w:w="1710" w:type="dxa"/>
            <w:tcBorders>
              <w:top w:val="single" w:sz="4" w:space="0" w:color="000000"/>
              <w:left w:val="single" w:sz="4" w:space="0" w:color="000000"/>
            </w:tcBorders>
            <w:shd w:val="clear" w:color="auto" w:fill="auto"/>
            <w:tcMar>
              <w:top w:w="0" w:type="dxa"/>
              <w:bottom w:w="0" w:type="dxa"/>
            </w:tcMar>
            <w:vAlign w:val="center"/>
          </w:tcPr>
          <w:p w14:paraId="18AD9557"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16,106,622</w:t>
            </w:r>
          </w:p>
        </w:tc>
        <w:tc>
          <w:tcPr>
            <w:tcW w:w="1890" w:type="dxa"/>
            <w:tcBorders>
              <w:top w:val="single" w:sz="4" w:space="0" w:color="000000"/>
              <w:left w:val="single" w:sz="4" w:space="0" w:color="000000"/>
            </w:tcBorders>
            <w:shd w:val="clear" w:color="auto" w:fill="auto"/>
            <w:tcMar>
              <w:top w:w="0" w:type="dxa"/>
              <w:bottom w:w="0" w:type="dxa"/>
            </w:tcMar>
            <w:vAlign w:val="center"/>
          </w:tcPr>
          <w:p w14:paraId="5646DF47"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484,300</w:t>
            </w:r>
          </w:p>
        </w:tc>
        <w:tc>
          <w:tcPr>
            <w:tcW w:w="128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F09B3A" w14:textId="77777777" w:rsidR="00022E80" w:rsidRPr="00B842DE" w:rsidRDefault="00022E80" w:rsidP="00B842DE">
            <w:pPr>
              <w:tabs>
                <w:tab w:val="left" w:pos="540"/>
              </w:tabs>
              <w:spacing w:after="120" w:line="360" w:lineRule="auto"/>
              <w:jc w:val="both"/>
              <w:rPr>
                <w:rFonts w:ascii="Arial" w:eastAsia="Arial" w:hAnsi="Arial" w:cs="Arial"/>
                <w:color w:val="010000"/>
                <w:sz w:val="20"/>
                <w:szCs w:val="20"/>
              </w:rPr>
            </w:pPr>
          </w:p>
        </w:tc>
      </w:tr>
      <w:tr w:rsidR="00022E80" w:rsidRPr="00B842DE" w14:paraId="0A7FC762" w14:textId="77777777">
        <w:tc>
          <w:tcPr>
            <w:tcW w:w="2425" w:type="dxa"/>
            <w:tcBorders>
              <w:top w:val="single" w:sz="4" w:space="0" w:color="000000"/>
              <w:left w:val="single" w:sz="4" w:space="0" w:color="000000"/>
            </w:tcBorders>
            <w:shd w:val="clear" w:color="auto" w:fill="auto"/>
            <w:tcMar>
              <w:top w:w="0" w:type="dxa"/>
              <w:bottom w:w="0" w:type="dxa"/>
            </w:tcMar>
            <w:vAlign w:val="center"/>
          </w:tcPr>
          <w:p w14:paraId="1F23FD55"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Other profits</w:t>
            </w:r>
          </w:p>
        </w:tc>
        <w:tc>
          <w:tcPr>
            <w:tcW w:w="1710" w:type="dxa"/>
            <w:tcBorders>
              <w:top w:val="single" w:sz="4" w:space="0" w:color="000000"/>
              <w:left w:val="single" w:sz="4" w:space="0" w:color="000000"/>
            </w:tcBorders>
            <w:shd w:val="clear" w:color="auto" w:fill="auto"/>
            <w:tcMar>
              <w:top w:w="0" w:type="dxa"/>
              <w:bottom w:w="0" w:type="dxa"/>
            </w:tcMar>
            <w:vAlign w:val="center"/>
          </w:tcPr>
          <w:p w14:paraId="42BA669E"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46,536,341</w:t>
            </w:r>
          </w:p>
        </w:tc>
        <w:tc>
          <w:tcPr>
            <w:tcW w:w="1710" w:type="dxa"/>
            <w:tcBorders>
              <w:top w:val="single" w:sz="4" w:space="0" w:color="000000"/>
              <w:left w:val="single" w:sz="4" w:space="0" w:color="000000"/>
            </w:tcBorders>
            <w:shd w:val="clear" w:color="auto" w:fill="auto"/>
            <w:tcMar>
              <w:top w:w="0" w:type="dxa"/>
              <w:bottom w:w="0" w:type="dxa"/>
            </w:tcMar>
            <w:vAlign w:val="center"/>
          </w:tcPr>
          <w:p w14:paraId="03FF92D8"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(16,590,922)</w:t>
            </w:r>
          </w:p>
        </w:tc>
        <w:tc>
          <w:tcPr>
            <w:tcW w:w="1890" w:type="dxa"/>
            <w:tcBorders>
              <w:top w:val="single" w:sz="4" w:space="0" w:color="000000"/>
              <w:left w:val="single" w:sz="4" w:space="0" w:color="000000"/>
            </w:tcBorders>
            <w:shd w:val="clear" w:color="auto" w:fill="auto"/>
            <w:tcMar>
              <w:top w:w="0" w:type="dxa"/>
              <w:bottom w:w="0" w:type="dxa"/>
            </w:tcMar>
            <w:vAlign w:val="center"/>
          </w:tcPr>
          <w:p w14:paraId="7EB11AF8" w14:textId="77777777" w:rsidR="00022E80" w:rsidRPr="00B842DE" w:rsidRDefault="00022E80" w:rsidP="00B842DE">
            <w:pPr>
              <w:tabs>
                <w:tab w:val="left" w:pos="540"/>
              </w:tabs>
              <w:spacing w:after="120" w:line="360" w:lineRule="auto"/>
              <w:jc w:val="center"/>
              <w:rPr>
                <w:rFonts w:ascii="Arial" w:eastAsia="Arial" w:hAnsi="Arial" w:cs="Arial"/>
                <w:color w:val="010000"/>
                <w:sz w:val="20"/>
                <w:szCs w:val="20"/>
              </w:rPr>
            </w:pPr>
          </w:p>
        </w:tc>
        <w:tc>
          <w:tcPr>
            <w:tcW w:w="128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648644"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29,945,419</w:t>
            </w:r>
          </w:p>
        </w:tc>
      </w:tr>
      <w:tr w:rsidR="00022E80" w:rsidRPr="00B842DE" w14:paraId="16EC9F0E" w14:textId="77777777">
        <w:tc>
          <w:tcPr>
            <w:tcW w:w="2425" w:type="dxa"/>
            <w:tcBorders>
              <w:top w:val="single" w:sz="4" w:space="0" w:color="000000"/>
              <w:left w:val="single" w:sz="4" w:space="0" w:color="000000"/>
            </w:tcBorders>
            <w:shd w:val="clear" w:color="auto" w:fill="auto"/>
            <w:tcMar>
              <w:top w:w="0" w:type="dxa"/>
              <w:bottom w:w="0" w:type="dxa"/>
            </w:tcMar>
            <w:vAlign w:val="center"/>
          </w:tcPr>
          <w:p w14:paraId="6310A4A2"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Total profit before tax</w:t>
            </w:r>
          </w:p>
        </w:tc>
        <w:tc>
          <w:tcPr>
            <w:tcW w:w="1710" w:type="dxa"/>
            <w:tcBorders>
              <w:top w:val="single" w:sz="4" w:space="0" w:color="000000"/>
              <w:left w:val="single" w:sz="4" w:space="0" w:color="000000"/>
            </w:tcBorders>
            <w:shd w:val="clear" w:color="auto" w:fill="auto"/>
            <w:tcMar>
              <w:top w:w="0" w:type="dxa"/>
              <w:bottom w:w="0" w:type="dxa"/>
            </w:tcMar>
            <w:vAlign w:val="center"/>
          </w:tcPr>
          <w:p w14:paraId="1088D73C"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(4,580,876,533)</w:t>
            </w:r>
          </w:p>
        </w:tc>
        <w:tc>
          <w:tcPr>
            <w:tcW w:w="1710" w:type="dxa"/>
            <w:tcBorders>
              <w:top w:val="single" w:sz="4" w:space="0" w:color="000000"/>
              <w:left w:val="single" w:sz="4" w:space="0" w:color="000000"/>
            </w:tcBorders>
            <w:shd w:val="clear" w:color="auto" w:fill="auto"/>
            <w:tcMar>
              <w:top w:w="0" w:type="dxa"/>
              <w:bottom w:w="0" w:type="dxa"/>
            </w:tcMar>
            <w:vAlign w:val="center"/>
          </w:tcPr>
          <w:p w14:paraId="6CB5E05A"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(10,256,704,130)</w:t>
            </w:r>
          </w:p>
        </w:tc>
        <w:tc>
          <w:tcPr>
            <w:tcW w:w="1890" w:type="dxa"/>
            <w:tcBorders>
              <w:top w:val="single" w:sz="4" w:space="0" w:color="000000"/>
              <w:left w:val="single" w:sz="4" w:space="0" w:color="000000"/>
            </w:tcBorders>
            <w:shd w:val="clear" w:color="auto" w:fill="auto"/>
            <w:tcMar>
              <w:top w:w="0" w:type="dxa"/>
              <w:bottom w:w="0" w:type="dxa"/>
            </w:tcMar>
            <w:vAlign w:val="center"/>
          </w:tcPr>
          <w:p w14:paraId="186CC872"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5,675,827,597</w:t>
            </w:r>
          </w:p>
        </w:tc>
        <w:tc>
          <w:tcPr>
            <w:tcW w:w="128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5278AF" w14:textId="77777777" w:rsidR="00022E80" w:rsidRPr="00B842DE" w:rsidRDefault="00022E80" w:rsidP="00B842DE">
            <w:pPr>
              <w:tabs>
                <w:tab w:val="left" w:pos="540"/>
              </w:tabs>
              <w:spacing w:after="120" w:line="360" w:lineRule="auto"/>
              <w:jc w:val="both"/>
              <w:rPr>
                <w:rFonts w:ascii="Arial" w:eastAsia="Arial" w:hAnsi="Arial" w:cs="Arial"/>
                <w:color w:val="010000"/>
                <w:sz w:val="20"/>
                <w:szCs w:val="20"/>
              </w:rPr>
            </w:pPr>
          </w:p>
        </w:tc>
      </w:tr>
      <w:tr w:rsidR="00022E80" w:rsidRPr="00B842DE" w14:paraId="542E7600" w14:textId="77777777">
        <w:tc>
          <w:tcPr>
            <w:tcW w:w="2425" w:type="dxa"/>
            <w:tcBorders>
              <w:top w:val="single" w:sz="4" w:space="0" w:color="000000"/>
              <w:left w:val="single" w:sz="4" w:space="0" w:color="000000"/>
            </w:tcBorders>
            <w:shd w:val="clear" w:color="auto" w:fill="auto"/>
            <w:tcMar>
              <w:top w:w="0" w:type="dxa"/>
              <w:bottom w:w="0" w:type="dxa"/>
            </w:tcMar>
            <w:vAlign w:val="center"/>
          </w:tcPr>
          <w:p w14:paraId="0E9E8886"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Profit after tax</w:t>
            </w:r>
          </w:p>
        </w:tc>
        <w:tc>
          <w:tcPr>
            <w:tcW w:w="1710" w:type="dxa"/>
            <w:tcBorders>
              <w:top w:val="single" w:sz="4" w:space="0" w:color="000000"/>
              <w:left w:val="single" w:sz="4" w:space="0" w:color="000000"/>
            </w:tcBorders>
            <w:shd w:val="clear" w:color="auto" w:fill="auto"/>
            <w:tcMar>
              <w:top w:w="0" w:type="dxa"/>
              <w:bottom w:w="0" w:type="dxa"/>
            </w:tcMar>
            <w:vAlign w:val="center"/>
          </w:tcPr>
          <w:p w14:paraId="72E82523"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(4,580,876,533)</w:t>
            </w:r>
          </w:p>
        </w:tc>
        <w:tc>
          <w:tcPr>
            <w:tcW w:w="1710" w:type="dxa"/>
            <w:tcBorders>
              <w:top w:val="single" w:sz="4" w:space="0" w:color="000000"/>
              <w:left w:val="single" w:sz="4" w:space="0" w:color="000000"/>
            </w:tcBorders>
            <w:shd w:val="clear" w:color="auto" w:fill="auto"/>
            <w:tcMar>
              <w:top w:w="0" w:type="dxa"/>
              <w:bottom w:w="0" w:type="dxa"/>
            </w:tcMar>
            <w:vAlign w:val="center"/>
          </w:tcPr>
          <w:p w14:paraId="4EE5B337"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(10,256,704,130)</w:t>
            </w:r>
          </w:p>
        </w:tc>
        <w:tc>
          <w:tcPr>
            <w:tcW w:w="1890" w:type="dxa"/>
            <w:tcBorders>
              <w:top w:val="single" w:sz="4" w:space="0" w:color="000000"/>
              <w:left w:val="single" w:sz="4" w:space="0" w:color="000000"/>
            </w:tcBorders>
            <w:shd w:val="clear" w:color="auto" w:fill="auto"/>
            <w:tcMar>
              <w:top w:w="0" w:type="dxa"/>
              <w:bottom w:w="0" w:type="dxa"/>
            </w:tcMar>
            <w:vAlign w:val="center"/>
          </w:tcPr>
          <w:p w14:paraId="5D19166D"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5,675,827,597</w:t>
            </w:r>
          </w:p>
        </w:tc>
        <w:tc>
          <w:tcPr>
            <w:tcW w:w="128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7E3E73" w14:textId="77777777" w:rsidR="00022E80" w:rsidRPr="00B842DE" w:rsidRDefault="00022E80" w:rsidP="00B842DE">
            <w:pPr>
              <w:tabs>
                <w:tab w:val="left" w:pos="540"/>
              </w:tabs>
              <w:spacing w:after="120" w:line="360" w:lineRule="auto"/>
              <w:jc w:val="both"/>
              <w:rPr>
                <w:rFonts w:ascii="Arial" w:eastAsia="Arial" w:hAnsi="Arial" w:cs="Arial"/>
                <w:color w:val="010000"/>
                <w:sz w:val="20"/>
                <w:szCs w:val="20"/>
              </w:rPr>
            </w:pPr>
          </w:p>
        </w:tc>
      </w:tr>
      <w:tr w:rsidR="00022E80" w:rsidRPr="00B842DE" w14:paraId="2935CD24" w14:textId="77777777">
        <w:tc>
          <w:tcPr>
            <w:tcW w:w="242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71CEFF" w14:textId="5689FDE0"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 xml:space="preserve">Basic </w:t>
            </w:r>
            <w:r w:rsidR="00B842DE">
              <w:rPr>
                <w:rFonts w:ascii="Arial" w:hAnsi="Arial" w:cs="Arial"/>
                <w:color w:val="010000"/>
                <w:sz w:val="20"/>
                <w:szCs w:val="20"/>
              </w:rPr>
              <w:t>earnings</w:t>
            </w:r>
            <w:r w:rsidR="003015E1">
              <w:rPr>
                <w:rFonts w:ascii="Arial" w:hAnsi="Arial" w:cs="Arial"/>
                <w:color w:val="010000"/>
                <w:sz w:val="20"/>
                <w:szCs w:val="20"/>
              </w:rPr>
              <w:t xml:space="preserve"> per share</w:t>
            </w:r>
          </w:p>
        </w:tc>
        <w:tc>
          <w:tcPr>
            <w:tcW w:w="17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1EBCD1"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(790)</w:t>
            </w:r>
          </w:p>
        </w:tc>
        <w:tc>
          <w:tcPr>
            <w:tcW w:w="17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3E6FE6"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(1,768)</w:t>
            </w:r>
          </w:p>
        </w:tc>
        <w:tc>
          <w:tcPr>
            <w:tcW w:w="18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579975"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978</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A6DB3E" w14:textId="77777777" w:rsidR="00022E80" w:rsidRPr="00B842DE" w:rsidRDefault="00022E80" w:rsidP="00B842DE">
            <w:pPr>
              <w:tabs>
                <w:tab w:val="left" w:pos="540"/>
              </w:tabs>
              <w:spacing w:after="120" w:line="360" w:lineRule="auto"/>
              <w:jc w:val="both"/>
              <w:rPr>
                <w:rFonts w:ascii="Arial" w:eastAsia="Arial" w:hAnsi="Arial" w:cs="Arial"/>
                <w:color w:val="010000"/>
                <w:sz w:val="20"/>
                <w:szCs w:val="20"/>
              </w:rPr>
            </w:pPr>
          </w:p>
        </w:tc>
      </w:tr>
    </w:tbl>
    <w:p w14:paraId="66229254" w14:textId="77777777" w:rsidR="00B842DE" w:rsidRDefault="00D26161" w:rsidP="00B842DE">
      <w:pPr>
        <w:pBdr>
          <w:top w:val="nil"/>
          <w:left w:val="nil"/>
          <w:bottom w:val="nil"/>
          <w:right w:val="nil"/>
          <w:between w:val="nil"/>
        </w:pBdr>
        <w:tabs>
          <w:tab w:val="left" w:pos="540"/>
        </w:tabs>
        <w:spacing w:after="120" w:line="360" w:lineRule="auto"/>
        <w:jc w:val="both"/>
        <w:rPr>
          <w:rFonts w:ascii="Arial" w:hAnsi="Arial" w:cs="Arial"/>
          <w:color w:val="010000"/>
          <w:sz w:val="20"/>
          <w:szCs w:val="20"/>
        </w:rPr>
      </w:pPr>
      <w:r w:rsidRPr="00B842DE">
        <w:rPr>
          <w:rFonts w:ascii="Arial" w:hAnsi="Arial" w:cs="Arial"/>
          <w:color w:val="010000"/>
          <w:sz w:val="20"/>
          <w:szCs w:val="20"/>
        </w:rPr>
        <w:t>‎‎</w:t>
      </w:r>
    </w:p>
    <w:p w14:paraId="100B9C0C" w14:textId="5754896A"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bookmarkStart w:id="0" w:name="_GoBack"/>
      <w:bookmarkEnd w:id="0"/>
      <w:r w:rsidRPr="00B842DE">
        <w:rPr>
          <w:rFonts w:ascii="Arial" w:hAnsi="Arial" w:cs="Arial"/>
          <w:color w:val="010000"/>
          <w:sz w:val="20"/>
          <w:szCs w:val="20"/>
        </w:rPr>
        <w:lastRenderedPageBreak/>
        <w:t>Article 2. Approve the Report on the Activities of the Board of Directors in 2023, and the orientation for 2024.</w:t>
      </w:r>
    </w:p>
    <w:p w14:paraId="286E3427"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‎‎Article 3. Approve the Report on the Supervisory Board's activities in 2023 and orientation for 2024.</w:t>
      </w:r>
    </w:p>
    <w:p w14:paraId="26D39410"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 xml:space="preserve">‎‎Article 4. Approve the audited Financial Statements for 2023 of Hanoi - </w:t>
      </w:r>
      <w:proofErr w:type="spellStart"/>
      <w:r w:rsidRPr="00B842DE">
        <w:rPr>
          <w:rFonts w:ascii="Arial" w:hAnsi="Arial" w:cs="Arial"/>
          <w:color w:val="010000"/>
          <w:sz w:val="20"/>
          <w:szCs w:val="20"/>
        </w:rPr>
        <w:t>Quang</w:t>
      </w:r>
      <w:proofErr w:type="spellEnd"/>
      <w:r w:rsidRPr="00B842DE">
        <w:rPr>
          <w:rFonts w:ascii="Arial" w:hAnsi="Arial" w:cs="Arial"/>
          <w:color w:val="010000"/>
          <w:sz w:val="20"/>
          <w:szCs w:val="20"/>
        </w:rPr>
        <w:t xml:space="preserve"> </w:t>
      </w:r>
      <w:proofErr w:type="spellStart"/>
      <w:r w:rsidRPr="00B842DE">
        <w:rPr>
          <w:rFonts w:ascii="Arial" w:hAnsi="Arial" w:cs="Arial"/>
          <w:color w:val="010000"/>
          <w:sz w:val="20"/>
          <w:szCs w:val="20"/>
        </w:rPr>
        <w:t>Binh</w:t>
      </w:r>
      <w:proofErr w:type="spellEnd"/>
      <w:r w:rsidRPr="00B842DE">
        <w:rPr>
          <w:rFonts w:ascii="Arial" w:hAnsi="Arial" w:cs="Arial"/>
          <w:color w:val="010000"/>
          <w:sz w:val="20"/>
          <w:szCs w:val="20"/>
        </w:rPr>
        <w:t xml:space="preserve"> Beer Joint Stock Company:</w:t>
      </w:r>
    </w:p>
    <w:p w14:paraId="1DE3DFC3" w14:textId="77777777" w:rsidR="00022E80" w:rsidRPr="00B842DE" w:rsidRDefault="00D26161" w:rsidP="00B842DE">
      <w:pPr>
        <w:numPr>
          <w:ilvl w:val="0"/>
          <w:numId w:val="6"/>
        </w:numPr>
        <w:pBdr>
          <w:top w:val="nil"/>
          <w:left w:val="nil"/>
          <w:bottom w:val="nil"/>
          <w:right w:val="nil"/>
          <w:between w:val="nil"/>
        </w:pBdr>
        <w:tabs>
          <w:tab w:val="left" w:pos="540"/>
          <w:tab w:val="left" w:pos="1835"/>
        </w:tabs>
        <w:spacing w:after="120" w:line="360" w:lineRule="auto"/>
        <w:jc w:val="both"/>
        <w:rPr>
          <w:rFonts w:ascii="Arial" w:hAnsi="Arial" w:cs="Arial"/>
          <w:color w:val="010000"/>
          <w:sz w:val="20"/>
          <w:szCs w:val="20"/>
        </w:rPr>
      </w:pPr>
      <w:r w:rsidRPr="00B842DE">
        <w:rPr>
          <w:rFonts w:ascii="Arial" w:hAnsi="Arial" w:cs="Arial"/>
          <w:color w:val="010000"/>
          <w:sz w:val="20"/>
          <w:szCs w:val="20"/>
        </w:rPr>
        <w:t>Assets and Capital</w:t>
      </w:r>
    </w:p>
    <w:tbl>
      <w:tblPr>
        <w:tblStyle w:val="a0"/>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08"/>
        <w:gridCol w:w="4509"/>
      </w:tblGrid>
      <w:tr w:rsidR="00022E80" w:rsidRPr="00B842DE" w14:paraId="4A6EFA98" w14:textId="77777777" w:rsidTr="004D231F">
        <w:tc>
          <w:tcPr>
            <w:tcW w:w="4508" w:type="dxa"/>
          </w:tcPr>
          <w:p w14:paraId="4A0C0D49" w14:textId="77777777" w:rsidR="00022E80" w:rsidRPr="00B842DE" w:rsidRDefault="00D26161" w:rsidP="00B842DE">
            <w:pPr>
              <w:numPr>
                <w:ilvl w:val="0"/>
                <w:numId w:val="7"/>
              </w:numPr>
              <w:pBdr>
                <w:top w:val="nil"/>
                <w:left w:val="nil"/>
                <w:bottom w:val="nil"/>
                <w:right w:val="nil"/>
                <w:between w:val="nil"/>
              </w:pBdr>
              <w:tabs>
                <w:tab w:val="left" w:pos="240"/>
                <w:tab w:val="left" w:pos="540"/>
                <w:tab w:val="left" w:pos="1748"/>
              </w:tabs>
              <w:spacing w:after="120" w:line="360" w:lineRule="auto"/>
              <w:jc w:val="both"/>
              <w:rPr>
                <w:rFonts w:ascii="Arial" w:hAnsi="Arial" w:cs="Arial"/>
                <w:color w:val="010000"/>
                <w:sz w:val="20"/>
                <w:szCs w:val="20"/>
              </w:rPr>
            </w:pPr>
            <w:r w:rsidRPr="00B842DE">
              <w:rPr>
                <w:rFonts w:ascii="Arial" w:hAnsi="Arial" w:cs="Arial"/>
                <w:color w:val="010000"/>
                <w:sz w:val="20"/>
                <w:szCs w:val="20"/>
              </w:rPr>
              <w:t>Total assets as of December 31, 2023:</w:t>
            </w:r>
          </w:p>
          <w:p w14:paraId="4B66945E" w14:textId="77777777" w:rsidR="00022E80" w:rsidRPr="00B842DE" w:rsidRDefault="00D26161" w:rsidP="00B842DE">
            <w:pPr>
              <w:numPr>
                <w:ilvl w:val="0"/>
                <w:numId w:val="5"/>
              </w:numPr>
              <w:pBdr>
                <w:top w:val="nil"/>
                <w:left w:val="nil"/>
                <w:bottom w:val="nil"/>
                <w:right w:val="nil"/>
                <w:between w:val="nil"/>
              </w:pBdr>
              <w:tabs>
                <w:tab w:val="left" w:pos="240"/>
                <w:tab w:val="left" w:pos="540"/>
              </w:tabs>
              <w:spacing w:after="120" w:line="360" w:lineRule="auto"/>
              <w:ind w:left="0" w:firstLine="0"/>
              <w:jc w:val="both"/>
              <w:rPr>
                <w:rFonts w:ascii="Arial" w:hAnsi="Arial" w:cs="Arial"/>
                <w:color w:val="010000"/>
                <w:sz w:val="20"/>
                <w:szCs w:val="20"/>
              </w:rPr>
            </w:pPr>
            <w:r w:rsidRPr="00B842DE">
              <w:rPr>
                <w:rFonts w:ascii="Arial" w:hAnsi="Arial" w:cs="Arial"/>
                <w:color w:val="010000"/>
                <w:sz w:val="20"/>
                <w:szCs w:val="20"/>
              </w:rPr>
              <w:t>Short-term assets:</w:t>
            </w:r>
          </w:p>
          <w:p w14:paraId="3956B4BD" w14:textId="77777777" w:rsidR="00022E80" w:rsidRPr="00B842DE" w:rsidRDefault="00D26161" w:rsidP="00B842DE">
            <w:pPr>
              <w:numPr>
                <w:ilvl w:val="0"/>
                <w:numId w:val="5"/>
              </w:numPr>
              <w:pBdr>
                <w:top w:val="nil"/>
                <w:left w:val="nil"/>
                <w:bottom w:val="nil"/>
                <w:right w:val="nil"/>
                <w:between w:val="nil"/>
              </w:pBdr>
              <w:tabs>
                <w:tab w:val="left" w:pos="240"/>
                <w:tab w:val="left" w:pos="540"/>
              </w:tabs>
              <w:spacing w:after="120" w:line="360" w:lineRule="auto"/>
              <w:ind w:left="0" w:firstLine="0"/>
              <w:jc w:val="both"/>
              <w:rPr>
                <w:rFonts w:ascii="Arial" w:hAnsi="Arial" w:cs="Arial"/>
                <w:color w:val="010000"/>
                <w:sz w:val="20"/>
                <w:szCs w:val="20"/>
              </w:rPr>
            </w:pPr>
            <w:r w:rsidRPr="00B842DE">
              <w:rPr>
                <w:rFonts w:ascii="Arial" w:hAnsi="Arial" w:cs="Arial"/>
                <w:color w:val="010000"/>
                <w:sz w:val="20"/>
                <w:szCs w:val="20"/>
              </w:rPr>
              <w:t>Long-term assets:</w:t>
            </w:r>
          </w:p>
          <w:p w14:paraId="4E60814A" w14:textId="77777777" w:rsidR="00022E80" w:rsidRPr="00B842DE" w:rsidRDefault="00D26161" w:rsidP="00B842DE">
            <w:pPr>
              <w:numPr>
                <w:ilvl w:val="0"/>
                <w:numId w:val="7"/>
              </w:numPr>
              <w:pBdr>
                <w:top w:val="nil"/>
                <w:left w:val="nil"/>
                <w:bottom w:val="nil"/>
                <w:right w:val="nil"/>
                <w:between w:val="nil"/>
              </w:pBdr>
              <w:tabs>
                <w:tab w:val="left" w:pos="240"/>
                <w:tab w:val="left" w:pos="540"/>
                <w:tab w:val="left" w:pos="1745"/>
              </w:tabs>
              <w:spacing w:after="120" w:line="360" w:lineRule="auto"/>
              <w:jc w:val="both"/>
              <w:rPr>
                <w:rFonts w:ascii="Arial" w:hAnsi="Arial" w:cs="Arial"/>
                <w:color w:val="010000"/>
                <w:sz w:val="20"/>
                <w:szCs w:val="20"/>
              </w:rPr>
            </w:pPr>
            <w:r w:rsidRPr="00B842DE">
              <w:rPr>
                <w:rFonts w:ascii="Arial" w:hAnsi="Arial" w:cs="Arial"/>
                <w:color w:val="010000"/>
                <w:sz w:val="20"/>
                <w:szCs w:val="20"/>
              </w:rPr>
              <w:t>Total capital as of December 31, 2023:</w:t>
            </w:r>
          </w:p>
          <w:p w14:paraId="674CCA6C" w14:textId="77777777" w:rsidR="00022E80" w:rsidRPr="00B842DE" w:rsidRDefault="00D26161" w:rsidP="00B842DE">
            <w:pPr>
              <w:numPr>
                <w:ilvl w:val="0"/>
                <w:numId w:val="5"/>
              </w:numPr>
              <w:pBdr>
                <w:top w:val="nil"/>
                <w:left w:val="nil"/>
                <w:bottom w:val="nil"/>
                <w:right w:val="nil"/>
                <w:between w:val="nil"/>
              </w:pBdr>
              <w:tabs>
                <w:tab w:val="left" w:pos="240"/>
                <w:tab w:val="left" w:pos="540"/>
              </w:tabs>
              <w:spacing w:after="120" w:line="360" w:lineRule="auto"/>
              <w:ind w:left="0" w:firstLine="0"/>
              <w:jc w:val="both"/>
              <w:rPr>
                <w:rFonts w:ascii="Arial" w:hAnsi="Arial" w:cs="Arial"/>
                <w:color w:val="010000"/>
                <w:sz w:val="20"/>
                <w:szCs w:val="20"/>
              </w:rPr>
            </w:pPr>
            <w:r w:rsidRPr="00B842DE">
              <w:rPr>
                <w:rFonts w:ascii="Arial" w:hAnsi="Arial" w:cs="Arial"/>
                <w:color w:val="010000"/>
                <w:sz w:val="20"/>
                <w:szCs w:val="20"/>
              </w:rPr>
              <w:t>Liabilities:</w:t>
            </w:r>
          </w:p>
          <w:p w14:paraId="07FE8993" w14:textId="77777777" w:rsidR="00022E80" w:rsidRPr="00B842DE" w:rsidRDefault="00D26161" w:rsidP="00B842DE">
            <w:pPr>
              <w:numPr>
                <w:ilvl w:val="0"/>
                <w:numId w:val="5"/>
              </w:numPr>
              <w:pBdr>
                <w:top w:val="nil"/>
                <w:left w:val="nil"/>
                <w:bottom w:val="nil"/>
                <w:right w:val="nil"/>
                <w:between w:val="nil"/>
              </w:pBdr>
              <w:tabs>
                <w:tab w:val="left" w:pos="240"/>
                <w:tab w:val="left" w:pos="540"/>
              </w:tabs>
              <w:spacing w:after="120" w:line="360" w:lineRule="auto"/>
              <w:ind w:left="0" w:firstLine="0"/>
              <w:jc w:val="both"/>
              <w:rPr>
                <w:rFonts w:ascii="Arial" w:hAnsi="Arial" w:cs="Arial"/>
                <w:color w:val="010000"/>
                <w:sz w:val="20"/>
                <w:szCs w:val="20"/>
              </w:rPr>
            </w:pPr>
            <w:r w:rsidRPr="00B842DE">
              <w:rPr>
                <w:rFonts w:ascii="Arial" w:hAnsi="Arial" w:cs="Arial"/>
                <w:color w:val="010000"/>
                <w:sz w:val="20"/>
                <w:szCs w:val="20"/>
              </w:rPr>
              <w:t>Owners’ equity</w:t>
            </w:r>
          </w:p>
          <w:p w14:paraId="4AF074F0" w14:textId="77777777" w:rsidR="00022E80" w:rsidRPr="00B842DE" w:rsidRDefault="00D26161" w:rsidP="00B842DE">
            <w:pPr>
              <w:pBdr>
                <w:top w:val="nil"/>
                <w:left w:val="nil"/>
                <w:bottom w:val="nil"/>
                <w:right w:val="nil"/>
                <w:between w:val="nil"/>
              </w:pBdr>
              <w:tabs>
                <w:tab w:val="left" w:pos="240"/>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In which, the Charter Capital</w:t>
            </w:r>
          </w:p>
        </w:tc>
        <w:tc>
          <w:tcPr>
            <w:tcW w:w="4509" w:type="dxa"/>
          </w:tcPr>
          <w:p w14:paraId="05C2FF4C" w14:textId="77777777" w:rsidR="00022E80" w:rsidRPr="00B842DE" w:rsidRDefault="00D26161" w:rsidP="003015E1">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VND 41,186,14,728</w:t>
            </w:r>
          </w:p>
          <w:p w14:paraId="24C8AD80" w14:textId="71DBBAA8" w:rsidR="00022E80" w:rsidRPr="00B842DE" w:rsidRDefault="00D26161" w:rsidP="003015E1">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VND 19,258,298,109</w:t>
            </w:r>
          </w:p>
          <w:p w14:paraId="41B4C564" w14:textId="77777777" w:rsidR="00022E80" w:rsidRPr="00B842DE" w:rsidRDefault="00D26161" w:rsidP="003015E1">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VND 21,927,842,619</w:t>
            </w:r>
          </w:p>
          <w:p w14:paraId="4F056884" w14:textId="77777777" w:rsidR="00022E80" w:rsidRPr="00B842DE" w:rsidRDefault="00D26161" w:rsidP="003015E1">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VND 41,186,140,728</w:t>
            </w:r>
          </w:p>
          <w:p w14:paraId="1D876BF8" w14:textId="77777777" w:rsidR="00022E80" w:rsidRPr="00B842DE" w:rsidRDefault="00D26161" w:rsidP="003015E1">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VND 14,295,012,803</w:t>
            </w:r>
          </w:p>
          <w:p w14:paraId="6F45BEAA" w14:textId="77777777" w:rsidR="00022E80" w:rsidRPr="00B842DE" w:rsidRDefault="00D26161" w:rsidP="003015E1">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VND 26,425,841,529</w:t>
            </w:r>
          </w:p>
          <w:p w14:paraId="61B07B17" w14:textId="77777777" w:rsidR="00022E80" w:rsidRPr="00B842DE" w:rsidRDefault="00D26161" w:rsidP="003015E1">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VND 58,000,000,000</w:t>
            </w:r>
          </w:p>
        </w:tc>
      </w:tr>
    </w:tbl>
    <w:p w14:paraId="1E907FDF" w14:textId="77777777" w:rsidR="00022E80" w:rsidRPr="00B842DE" w:rsidRDefault="00D26161" w:rsidP="00B842DE">
      <w:pPr>
        <w:numPr>
          <w:ilvl w:val="0"/>
          <w:numId w:val="6"/>
        </w:numPr>
        <w:pBdr>
          <w:top w:val="nil"/>
          <w:left w:val="nil"/>
          <w:bottom w:val="nil"/>
          <w:right w:val="nil"/>
          <w:between w:val="nil"/>
        </w:pBdr>
        <w:tabs>
          <w:tab w:val="left" w:pos="540"/>
          <w:tab w:val="left" w:pos="1849"/>
        </w:tabs>
        <w:spacing w:after="120" w:line="360" w:lineRule="auto"/>
        <w:jc w:val="both"/>
        <w:rPr>
          <w:rFonts w:ascii="Arial" w:hAnsi="Arial" w:cs="Arial"/>
          <w:color w:val="010000"/>
          <w:sz w:val="20"/>
          <w:szCs w:val="20"/>
        </w:rPr>
      </w:pPr>
      <w:r w:rsidRPr="00B842DE">
        <w:rPr>
          <w:rFonts w:ascii="Arial" w:hAnsi="Arial" w:cs="Arial"/>
          <w:color w:val="010000"/>
          <w:sz w:val="20"/>
          <w:szCs w:val="20"/>
        </w:rPr>
        <w:t>Business results:</w:t>
      </w:r>
    </w:p>
    <w:tbl>
      <w:tblPr>
        <w:tblStyle w:val="a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08"/>
        <w:gridCol w:w="4509"/>
      </w:tblGrid>
      <w:tr w:rsidR="00022E80" w:rsidRPr="00B842DE" w14:paraId="0146A05D" w14:textId="77777777" w:rsidTr="004D231F">
        <w:tc>
          <w:tcPr>
            <w:tcW w:w="4508" w:type="dxa"/>
          </w:tcPr>
          <w:p w14:paraId="28866202"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Total revenue:</w:t>
            </w:r>
          </w:p>
          <w:p w14:paraId="1594AB01" w14:textId="77777777" w:rsidR="004D231F" w:rsidRPr="00B842DE" w:rsidRDefault="004D231F" w:rsidP="00B842DE">
            <w:pPr>
              <w:pBdr>
                <w:top w:val="nil"/>
                <w:left w:val="nil"/>
                <w:bottom w:val="nil"/>
                <w:right w:val="nil"/>
                <w:between w:val="nil"/>
              </w:pBdr>
              <w:tabs>
                <w:tab w:val="left" w:pos="540"/>
              </w:tabs>
              <w:spacing w:after="120" w:line="360" w:lineRule="auto"/>
              <w:jc w:val="both"/>
              <w:rPr>
                <w:rFonts w:ascii="Arial" w:hAnsi="Arial" w:cs="Arial"/>
                <w:color w:val="010000"/>
                <w:sz w:val="20"/>
                <w:szCs w:val="20"/>
              </w:rPr>
            </w:pPr>
          </w:p>
          <w:p w14:paraId="466AB1F4"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Total profit before tax:</w:t>
            </w:r>
          </w:p>
          <w:p w14:paraId="0639C592" w14:textId="77777777" w:rsidR="00022E80" w:rsidRPr="00B842DE" w:rsidRDefault="00D26161" w:rsidP="00B842DE">
            <w:pPr>
              <w:pBdr>
                <w:top w:val="nil"/>
                <w:left w:val="nil"/>
                <w:bottom w:val="nil"/>
                <w:right w:val="nil"/>
                <w:between w:val="nil"/>
              </w:pBdr>
              <w:tabs>
                <w:tab w:val="left" w:pos="540"/>
                <w:tab w:val="left" w:pos="1849"/>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Total profit after tax:</w:t>
            </w:r>
          </w:p>
        </w:tc>
        <w:tc>
          <w:tcPr>
            <w:tcW w:w="4509" w:type="dxa"/>
          </w:tcPr>
          <w:p w14:paraId="715D230A" w14:textId="77777777" w:rsidR="00022E80" w:rsidRPr="00B842DE" w:rsidRDefault="00D26161" w:rsidP="003015E1">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VND 50.858 billion, reaching 86.54% of the annual plan</w:t>
            </w:r>
          </w:p>
          <w:p w14:paraId="1D162EE5" w14:textId="77777777" w:rsidR="00022E80" w:rsidRPr="00B842DE" w:rsidRDefault="00D26161" w:rsidP="003015E1">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(VND 4,580,876,533)</w:t>
            </w:r>
          </w:p>
          <w:p w14:paraId="7711CF32" w14:textId="77777777" w:rsidR="00022E80" w:rsidRPr="00B842DE" w:rsidRDefault="00D26161" w:rsidP="003015E1">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(VND 4,580,876,533)</w:t>
            </w:r>
          </w:p>
        </w:tc>
      </w:tr>
    </w:tbl>
    <w:p w14:paraId="0D82B22E"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‎‎Article 5. Approve the settlement of salaries and remuneration for members of the Board of Directors and Supervisory Board in 2023; the plan for profit distribution in 2023 as follows:</w:t>
      </w:r>
    </w:p>
    <w:p w14:paraId="69FA507F" w14:textId="77777777" w:rsidR="00022E80" w:rsidRPr="00B842DE" w:rsidRDefault="00D26161" w:rsidP="00B842DE">
      <w:pPr>
        <w:numPr>
          <w:ilvl w:val="0"/>
          <w:numId w:val="10"/>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B842DE">
        <w:rPr>
          <w:rFonts w:ascii="Arial" w:hAnsi="Arial" w:cs="Arial"/>
          <w:color w:val="010000"/>
          <w:sz w:val="20"/>
          <w:szCs w:val="20"/>
        </w:rPr>
        <w:t xml:space="preserve"> Settlement of salaries and remuneration in 2023:</w:t>
      </w:r>
    </w:p>
    <w:p w14:paraId="42EF0FE9"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The settlement of salaries and remuneration in 2023 for members of the Board of Directors and Supervisory Board is VND 282.465 million, of which:</w:t>
      </w:r>
    </w:p>
    <w:p w14:paraId="684231DD" w14:textId="4896F435" w:rsidR="00022E80" w:rsidRPr="00B842DE" w:rsidRDefault="00D26161" w:rsidP="00B842DE">
      <w:pPr>
        <w:numPr>
          <w:ilvl w:val="0"/>
          <w:numId w:val="8"/>
        </w:numPr>
        <w:pBdr>
          <w:top w:val="nil"/>
          <w:left w:val="nil"/>
          <w:bottom w:val="nil"/>
          <w:right w:val="nil"/>
          <w:between w:val="nil"/>
        </w:pBdr>
        <w:tabs>
          <w:tab w:val="left" w:pos="540"/>
          <w:tab w:val="left" w:pos="1588"/>
        </w:tabs>
        <w:spacing w:after="120" w:line="360" w:lineRule="auto"/>
        <w:jc w:val="both"/>
        <w:rPr>
          <w:rFonts w:ascii="Arial" w:hAnsi="Arial" w:cs="Arial"/>
          <w:color w:val="010000"/>
          <w:sz w:val="20"/>
          <w:szCs w:val="20"/>
        </w:rPr>
      </w:pPr>
      <w:r w:rsidRPr="00B842DE">
        <w:rPr>
          <w:rFonts w:ascii="Arial" w:hAnsi="Arial" w:cs="Arial"/>
          <w:color w:val="010000"/>
          <w:sz w:val="20"/>
          <w:szCs w:val="20"/>
        </w:rPr>
        <w:t xml:space="preserve">Remuneration for non-executive members of the Board of Directors and Supervisory Board: VND 261 </w:t>
      </w:r>
      <w:r w:rsidR="00C76624" w:rsidRPr="00B842DE">
        <w:rPr>
          <w:rFonts w:ascii="Arial" w:hAnsi="Arial" w:cs="Arial"/>
          <w:color w:val="010000"/>
          <w:sz w:val="20"/>
          <w:szCs w:val="20"/>
        </w:rPr>
        <w:t>m</w:t>
      </w:r>
      <w:r w:rsidRPr="00B842DE">
        <w:rPr>
          <w:rFonts w:ascii="Arial" w:hAnsi="Arial" w:cs="Arial"/>
          <w:color w:val="010000"/>
          <w:sz w:val="20"/>
          <w:szCs w:val="20"/>
        </w:rPr>
        <w:t>illion.</w:t>
      </w:r>
    </w:p>
    <w:p w14:paraId="4E7FCB6B" w14:textId="05301479" w:rsidR="00022E80" w:rsidRPr="00B842DE" w:rsidRDefault="00D26161" w:rsidP="00B842DE">
      <w:pPr>
        <w:numPr>
          <w:ilvl w:val="0"/>
          <w:numId w:val="8"/>
        </w:numPr>
        <w:pBdr>
          <w:top w:val="nil"/>
          <w:left w:val="nil"/>
          <w:bottom w:val="nil"/>
          <w:right w:val="nil"/>
          <w:between w:val="nil"/>
        </w:pBdr>
        <w:tabs>
          <w:tab w:val="left" w:pos="540"/>
          <w:tab w:val="left" w:pos="1585"/>
          <w:tab w:val="left" w:pos="6990"/>
        </w:tabs>
        <w:spacing w:after="120" w:line="360" w:lineRule="auto"/>
        <w:jc w:val="both"/>
        <w:rPr>
          <w:rFonts w:ascii="Arial" w:hAnsi="Arial" w:cs="Arial"/>
          <w:color w:val="010000"/>
          <w:sz w:val="20"/>
          <w:szCs w:val="20"/>
        </w:rPr>
      </w:pPr>
      <w:r w:rsidRPr="00B842DE">
        <w:rPr>
          <w:rFonts w:ascii="Arial" w:hAnsi="Arial" w:cs="Arial"/>
          <w:color w:val="010000"/>
          <w:sz w:val="20"/>
          <w:szCs w:val="20"/>
        </w:rPr>
        <w:t xml:space="preserve">Salary for executive members of the Supervisory Board: VND 21.465 </w:t>
      </w:r>
      <w:r w:rsidR="00C76624" w:rsidRPr="00B842DE">
        <w:rPr>
          <w:rFonts w:ascii="Arial" w:hAnsi="Arial" w:cs="Arial"/>
          <w:color w:val="010000"/>
          <w:sz w:val="20"/>
          <w:szCs w:val="20"/>
        </w:rPr>
        <w:t>m</w:t>
      </w:r>
      <w:r w:rsidRPr="00B842DE">
        <w:rPr>
          <w:rFonts w:ascii="Arial" w:hAnsi="Arial" w:cs="Arial"/>
          <w:color w:val="010000"/>
          <w:sz w:val="20"/>
          <w:szCs w:val="20"/>
        </w:rPr>
        <w:t>illion.</w:t>
      </w:r>
    </w:p>
    <w:p w14:paraId="17ABA370" w14:textId="77777777" w:rsidR="00022E80" w:rsidRPr="00B842DE" w:rsidRDefault="00D26161" w:rsidP="00B842DE">
      <w:pPr>
        <w:keepNext/>
        <w:numPr>
          <w:ilvl w:val="0"/>
          <w:numId w:val="10"/>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B842DE">
        <w:rPr>
          <w:rFonts w:ascii="Arial" w:hAnsi="Arial" w:cs="Arial"/>
          <w:color w:val="010000"/>
          <w:sz w:val="20"/>
          <w:szCs w:val="20"/>
        </w:rPr>
        <w:t xml:space="preserve">  Profit distribution plan in 2023</w:t>
      </w:r>
    </w:p>
    <w:p w14:paraId="2EA9B1D1" w14:textId="77777777" w:rsidR="00022E80" w:rsidRPr="00B842DE" w:rsidRDefault="00D26161" w:rsidP="00B842DE">
      <w:pPr>
        <w:numPr>
          <w:ilvl w:val="0"/>
          <w:numId w:val="8"/>
        </w:numPr>
        <w:pBdr>
          <w:top w:val="nil"/>
          <w:left w:val="nil"/>
          <w:bottom w:val="nil"/>
          <w:right w:val="nil"/>
          <w:between w:val="nil"/>
        </w:pBdr>
        <w:tabs>
          <w:tab w:val="left" w:pos="540"/>
        </w:tabs>
        <w:spacing w:after="120" w:line="360" w:lineRule="auto"/>
        <w:jc w:val="both"/>
        <w:rPr>
          <w:rFonts w:ascii="Arial" w:hAnsi="Arial" w:cs="Arial"/>
          <w:color w:val="010000"/>
          <w:sz w:val="20"/>
          <w:szCs w:val="20"/>
        </w:rPr>
      </w:pPr>
      <w:r w:rsidRPr="00B842DE">
        <w:rPr>
          <w:rFonts w:ascii="Arial" w:hAnsi="Arial" w:cs="Arial"/>
          <w:color w:val="010000"/>
          <w:sz w:val="20"/>
          <w:szCs w:val="20"/>
        </w:rPr>
        <w:t xml:space="preserve">Profit distribution in 2023: Profit after tax VND (4.580) billion </w:t>
      </w:r>
    </w:p>
    <w:p w14:paraId="3F176642" w14:textId="7174405D"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Due to the loss of VND (4.580) billion in production and business results in 2023, no dividends will be paid to shareholders per their capital contribution; no bonuses for the Executive Board; no deductions for bonus and welfare funds</w:t>
      </w:r>
      <w:r w:rsidR="00B842DE">
        <w:rPr>
          <w:rFonts w:ascii="Arial" w:hAnsi="Arial" w:cs="Arial"/>
          <w:color w:val="010000"/>
          <w:sz w:val="20"/>
          <w:szCs w:val="20"/>
        </w:rPr>
        <w:t>,</w:t>
      </w:r>
      <w:r w:rsidRPr="00B842DE">
        <w:rPr>
          <w:rFonts w:ascii="Arial" w:hAnsi="Arial" w:cs="Arial"/>
          <w:color w:val="010000"/>
          <w:sz w:val="20"/>
          <w:szCs w:val="20"/>
        </w:rPr>
        <w:t xml:space="preserve"> and production development fund.</w:t>
      </w:r>
    </w:p>
    <w:p w14:paraId="7FBAC8D1" w14:textId="19947EE6"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 xml:space="preserve">‎‎Article 6. Approve the plan </w:t>
      </w:r>
      <w:r w:rsidR="00B842DE">
        <w:rPr>
          <w:rFonts w:ascii="Arial" w:hAnsi="Arial" w:cs="Arial"/>
          <w:color w:val="010000"/>
          <w:sz w:val="20"/>
          <w:szCs w:val="20"/>
        </w:rPr>
        <w:t>for</w:t>
      </w:r>
      <w:r w:rsidRPr="00B842DE">
        <w:rPr>
          <w:rFonts w:ascii="Arial" w:hAnsi="Arial" w:cs="Arial"/>
          <w:color w:val="010000"/>
          <w:sz w:val="20"/>
          <w:szCs w:val="20"/>
        </w:rPr>
        <w:t xml:space="preserve"> business and production and the profit distribution plan for 2024</w:t>
      </w:r>
    </w:p>
    <w:p w14:paraId="3BB6E7C5" w14:textId="77777777" w:rsidR="00022E80" w:rsidRPr="00B842DE" w:rsidRDefault="00D26161" w:rsidP="00B842DE">
      <w:pPr>
        <w:numPr>
          <w:ilvl w:val="0"/>
          <w:numId w:val="1"/>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B842DE">
        <w:rPr>
          <w:rFonts w:ascii="Arial" w:hAnsi="Arial" w:cs="Arial"/>
          <w:color w:val="010000"/>
          <w:sz w:val="20"/>
          <w:szCs w:val="20"/>
        </w:rPr>
        <w:lastRenderedPageBreak/>
        <w:t>Plan for 2024:</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1686"/>
        <w:gridCol w:w="2426"/>
      </w:tblGrid>
      <w:tr w:rsidR="00022E80" w:rsidRPr="00B842DE" w14:paraId="1AAA0D63" w14:textId="77777777">
        <w:tc>
          <w:tcPr>
            <w:tcW w:w="4905" w:type="dxa"/>
            <w:shd w:val="clear" w:color="auto" w:fill="auto"/>
            <w:tcMar>
              <w:top w:w="0" w:type="dxa"/>
              <w:bottom w:w="0" w:type="dxa"/>
            </w:tcMar>
            <w:vAlign w:val="center"/>
          </w:tcPr>
          <w:p w14:paraId="72E6557E"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Targets</w:t>
            </w:r>
          </w:p>
        </w:tc>
        <w:tc>
          <w:tcPr>
            <w:tcW w:w="1686" w:type="dxa"/>
            <w:shd w:val="clear" w:color="auto" w:fill="auto"/>
            <w:tcMar>
              <w:top w:w="0" w:type="dxa"/>
              <w:bottom w:w="0" w:type="dxa"/>
            </w:tcMar>
            <w:vAlign w:val="center"/>
          </w:tcPr>
          <w:p w14:paraId="096AB651"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Unit</w:t>
            </w:r>
          </w:p>
        </w:tc>
        <w:tc>
          <w:tcPr>
            <w:tcW w:w="2426" w:type="dxa"/>
            <w:shd w:val="clear" w:color="auto" w:fill="auto"/>
            <w:tcMar>
              <w:top w:w="0" w:type="dxa"/>
              <w:bottom w:w="0" w:type="dxa"/>
            </w:tcMar>
            <w:vAlign w:val="center"/>
          </w:tcPr>
          <w:p w14:paraId="5DE0F87F"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Plan for 2024</w:t>
            </w:r>
          </w:p>
        </w:tc>
      </w:tr>
      <w:tr w:rsidR="00022E80" w:rsidRPr="00B842DE" w14:paraId="7E67F9A9" w14:textId="77777777">
        <w:tc>
          <w:tcPr>
            <w:tcW w:w="4905" w:type="dxa"/>
            <w:shd w:val="clear" w:color="auto" w:fill="auto"/>
            <w:tcMar>
              <w:top w:w="0" w:type="dxa"/>
              <w:bottom w:w="0" w:type="dxa"/>
            </w:tcMar>
            <w:vAlign w:val="center"/>
          </w:tcPr>
          <w:p w14:paraId="08D03C00"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 xml:space="preserve">1 Total revenue and income </w:t>
            </w:r>
          </w:p>
          <w:p w14:paraId="379A85D8"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In which: industrial production revenue</w:t>
            </w:r>
          </w:p>
        </w:tc>
        <w:tc>
          <w:tcPr>
            <w:tcW w:w="1686" w:type="dxa"/>
            <w:shd w:val="clear" w:color="auto" w:fill="auto"/>
            <w:tcMar>
              <w:top w:w="0" w:type="dxa"/>
              <w:bottom w:w="0" w:type="dxa"/>
            </w:tcMar>
            <w:vAlign w:val="center"/>
          </w:tcPr>
          <w:p w14:paraId="3E0D9200"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Million VND</w:t>
            </w:r>
          </w:p>
        </w:tc>
        <w:tc>
          <w:tcPr>
            <w:tcW w:w="2426" w:type="dxa"/>
            <w:shd w:val="clear" w:color="auto" w:fill="auto"/>
            <w:tcMar>
              <w:top w:w="0" w:type="dxa"/>
              <w:bottom w:w="0" w:type="dxa"/>
            </w:tcMar>
            <w:vAlign w:val="center"/>
          </w:tcPr>
          <w:p w14:paraId="29A6DE5F"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62,381</w:t>
            </w:r>
          </w:p>
          <w:p w14:paraId="01ADAA39"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61,140</w:t>
            </w:r>
          </w:p>
        </w:tc>
      </w:tr>
      <w:tr w:rsidR="00022E80" w:rsidRPr="00B842DE" w14:paraId="2E7A0959" w14:textId="77777777">
        <w:tc>
          <w:tcPr>
            <w:tcW w:w="4905" w:type="dxa"/>
            <w:shd w:val="clear" w:color="auto" w:fill="auto"/>
            <w:tcMar>
              <w:top w:w="0" w:type="dxa"/>
              <w:bottom w:w="0" w:type="dxa"/>
            </w:tcMar>
            <w:vAlign w:val="center"/>
          </w:tcPr>
          <w:p w14:paraId="75E1C7FF"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2 Total profit before tax</w:t>
            </w:r>
          </w:p>
        </w:tc>
        <w:tc>
          <w:tcPr>
            <w:tcW w:w="1686" w:type="dxa"/>
            <w:shd w:val="clear" w:color="auto" w:fill="auto"/>
            <w:tcMar>
              <w:top w:w="0" w:type="dxa"/>
              <w:bottom w:w="0" w:type="dxa"/>
            </w:tcMar>
            <w:vAlign w:val="center"/>
          </w:tcPr>
          <w:p w14:paraId="71C27F4A"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Million VND</w:t>
            </w:r>
          </w:p>
        </w:tc>
        <w:tc>
          <w:tcPr>
            <w:tcW w:w="2426" w:type="dxa"/>
            <w:shd w:val="clear" w:color="auto" w:fill="auto"/>
            <w:tcMar>
              <w:top w:w="0" w:type="dxa"/>
              <w:bottom w:w="0" w:type="dxa"/>
            </w:tcMar>
            <w:vAlign w:val="center"/>
          </w:tcPr>
          <w:p w14:paraId="4D9A2B40"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1.88</w:t>
            </w:r>
          </w:p>
        </w:tc>
      </w:tr>
      <w:tr w:rsidR="00022E80" w:rsidRPr="00B842DE" w14:paraId="1048FB45" w14:textId="77777777">
        <w:tc>
          <w:tcPr>
            <w:tcW w:w="4905" w:type="dxa"/>
            <w:shd w:val="clear" w:color="auto" w:fill="auto"/>
            <w:tcMar>
              <w:top w:w="0" w:type="dxa"/>
              <w:bottom w:w="0" w:type="dxa"/>
            </w:tcMar>
            <w:vAlign w:val="center"/>
          </w:tcPr>
          <w:p w14:paraId="1AC55FAB"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3 Total profit after tax:</w:t>
            </w:r>
          </w:p>
        </w:tc>
        <w:tc>
          <w:tcPr>
            <w:tcW w:w="1686" w:type="dxa"/>
            <w:shd w:val="clear" w:color="auto" w:fill="auto"/>
            <w:tcMar>
              <w:top w:w="0" w:type="dxa"/>
              <w:bottom w:w="0" w:type="dxa"/>
            </w:tcMar>
            <w:vAlign w:val="center"/>
          </w:tcPr>
          <w:p w14:paraId="20F3EFC6"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Million VND</w:t>
            </w:r>
          </w:p>
        </w:tc>
        <w:tc>
          <w:tcPr>
            <w:tcW w:w="2426" w:type="dxa"/>
            <w:shd w:val="clear" w:color="auto" w:fill="auto"/>
            <w:tcMar>
              <w:top w:w="0" w:type="dxa"/>
              <w:bottom w:w="0" w:type="dxa"/>
            </w:tcMar>
            <w:vAlign w:val="center"/>
          </w:tcPr>
          <w:p w14:paraId="494251CD"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1.88</w:t>
            </w:r>
          </w:p>
        </w:tc>
      </w:tr>
      <w:tr w:rsidR="00022E80" w:rsidRPr="00B842DE" w14:paraId="76B88115" w14:textId="77777777">
        <w:tc>
          <w:tcPr>
            <w:tcW w:w="4905" w:type="dxa"/>
            <w:shd w:val="clear" w:color="auto" w:fill="auto"/>
            <w:tcMar>
              <w:top w:w="0" w:type="dxa"/>
              <w:bottom w:w="0" w:type="dxa"/>
            </w:tcMar>
            <w:vAlign w:val="center"/>
          </w:tcPr>
          <w:p w14:paraId="5ADC38B7"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4 Total budget contributions</w:t>
            </w:r>
          </w:p>
        </w:tc>
        <w:tc>
          <w:tcPr>
            <w:tcW w:w="1686" w:type="dxa"/>
            <w:shd w:val="clear" w:color="auto" w:fill="auto"/>
            <w:tcMar>
              <w:top w:w="0" w:type="dxa"/>
              <w:bottom w:w="0" w:type="dxa"/>
            </w:tcMar>
            <w:vAlign w:val="center"/>
          </w:tcPr>
          <w:p w14:paraId="4D78BC97"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Million VND</w:t>
            </w:r>
          </w:p>
        </w:tc>
        <w:tc>
          <w:tcPr>
            <w:tcW w:w="2426" w:type="dxa"/>
            <w:shd w:val="clear" w:color="auto" w:fill="auto"/>
            <w:tcMar>
              <w:top w:w="0" w:type="dxa"/>
              <w:bottom w:w="0" w:type="dxa"/>
            </w:tcMar>
            <w:vAlign w:val="center"/>
          </w:tcPr>
          <w:p w14:paraId="2BE7CD37" w14:textId="77777777" w:rsidR="00022E80" w:rsidRPr="00B842DE" w:rsidRDefault="00D26161" w:rsidP="00B842DE">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B842DE">
              <w:rPr>
                <w:rFonts w:ascii="Arial" w:hAnsi="Arial" w:cs="Arial"/>
                <w:color w:val="010000"/>
                <w:sz w:val="20"/>
                <w:szCs w:val="20"/>
              </w:rPr>
              <w:t>57,801</w:t>
            </w:r>
          </w:p>
        </w:tc>
      </w:tr>
    </w:tbl>
    <w:p w14:paraId="1F3CF51F" w14:textId="77777777" w:rsidR="00022E80" w:rsidRPr="00B842DE" w:rsidRDefault="00D26161" w:rsidP="00B842DE">
      <w:pPr>
        <w:keepNext/>
        <w:numPr>
          <w:ilvl w:val="0"/>
          <w:numId w:val="9"/>
        </w:numPr>
        <w:pBdr>
          <w:top w:val="nil"/>
          <w:left w:val="nil"/>
          <w:bottom w:val="nil"/>
          <w:right w:val="nil"/>
          <w:between w:val="nil"/>
        </w:pBdr>
        <w:tabs>
          <w:tab w:val="left" w:pos="540"/>
          <w:tab w:val="left" w:pos="1686"/>
        </w:tabs>
        <w:spacing w:after="120" w:line="360" w:lineRule="auto"/>
        <w:jc w:val="both"/>
        <w:rPr>
          <w:rFonts w:ascii="Arial" w:hAnsi="Arial" w:cs="Arial"/>
          <w:color w:val="010000"/>
          <w:sz w:val="20"/>
          <w:szCs w:val="20"/>
        </w:rPr>
      </w:pPr>
      <w:r w:rsidRPr="00B842DE">
        <w:rPr>
          <w:rFonts w:ascii="Arial" w:hAnsi="Arial" w:cs="Arial"/>
          <w:color w:val="010000"/>
          <w:sz w:val="20"/>
          <w:szCs w:val="20"/>
        </w:rPr>
        <w:t>Profit distribution plan 2024</w:t>
      </w:r>
    </w:p>
    <w:p w14:paraId="00946EB9" w14:textId="0402C510" w:rsidR="00022E80" w:rsidRPr="00B842DE" w:rsidRDefault="00D26161" w:rsidP="00B842DE">
      <w:pPr>
        <w:numPr>
          <w:ilvl w:val="0"/>
          <w:numId w:val="8"/>
        </w:numPr>
        <w:pBdr>
          <w:top w:val="nil"/>
          <w:left w:val="nil"/>
          <w:bottom w:val="nil"/>
          <w:right w:val="nil"/>
          <w:between w:val="nil"/>
        </w:pBdr>
        <w:tabs>
          <w:tab w:val="left" w:pos="540"/>
        </w:tabs>
        <w:spacing w:after="120" w:line="360" w:lineRule="auto"/>
        <w:jc w:val="both"/>
        <w:rPr>
          <w:rFonts w:ascii="Arial" w:hAnsi="Arial" w:cs="Arial"/>
          <w:color w:val="010000"/>
          <w:sz w:val="20"/>
          <w:szCs w:val="20"/>
        </w:rPr>
      </w:pPr>
      <w:r w:rsidRPr="00B842DE">
        <w:rPr>
          <w:rFonts w:ascii="Arial" w:hAnsi="Arial" w:cs="Arial"/>
          <w:color w:val="010000"/>
          <w:sz w:val="20"/>
          <w:szCs w:val="20"/>
        </w:rPr>
        <w:t xml:space="preserve">Planned profit after tax: VND 1.88 </w:t>
      </w:r>
      <w:r w:rsidR="00C76624" w:rsidRPr="00B842DE">
        <w:rPr>
          <w:rFonts w:ascii="Arial" w:hAnsi="Arial" w:cs="Arial"/>
          <w:color w:val="010000"/>
          <w:sz w:val="20"/>
          <w:szCs w:val="20"/>
        </w:rPr>
        <w:t>m</w:t>
      </w:r>
      <w:r w:rsidRPr="00B842DE">
        <w:rPr>
          <w:rFonts w:ascii="Arial" w:hAnsi="Arial" w:cs="Arial"/>
          <w:color w:val="010000"/>
          <w:sz w:val="20"/>
          <w:szCs w:val="20"/>
        </w:rPr>
        <w:t>illion.</w:t>
      </w:r>
    </w:p>
    <w:p w14:paraId="5968551F"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The planned profit for 2024 is VND 1.88 million, which is insufficient to distribute dividends to shareholders per their capital contribution as well as to allocate bonuses for the Executive Board, and deduct for bonus and welfare funds and production development fund.</w:t>
      </w:r>
    </w:p>
    <w:p w14:paraId="12965CA9"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‎‎Article 7. Approve the salary and remuneration plan for 2024 for members of the Board of Directors and Supervisory Board as follows:</w:t>
      </w:r>
    </w:p>
    <w:p w14:paraId="2D6D6888" w14:textId="77777777" w:rsidR="00022E80" w:rsidRPr="00B842DE" w:rsidRDefault="00D26161" w:rsidP="00B842DE">
      <w:pPr>
        <w:numPr>
          <w:ilvl w:val="0"/>
          <w:numId w:val="2"/>
        </w:numPr>
        <w:pBdr>
          <w:top w:val="nil"/>
          <w:left w:val="nil"/>
          <w:bottom w:val="nil"/>
          <w:right w:val="nil"/>
          <w:between w:val="nil"/>
        </w:pBdr>
        <w:tabs>
          <w:tab w:val="left" w:pos="540"/>
          <w:tab w:val="left" w:pos="1686"/>
        </w:tabs>
        <w:spacing w:after="120" w:line="360" w:lineRule="auto"/>
        <w:jc w:val="both"/>
        <w:rPr>
          <w:rFonts w:ascii="Arial" w:hAnsi="Arial" w:cs="Arial"/>
          <w:color w:val="010000"/>
          <w:sz w:val="20"/>
          <w:szCs w:val="20"/>
        </w:rPr>
      </w:pPr>
      <w:r w:rsidRPr="00B842DE">
        <w:rPr>
          <w:rFonts w:ascii="Arial" w:hAnsi="Arial" w:cs="Arial"/>
          <w:color w:val="010000"/>
          <w:sz w:val="20"/>
          <w:szCs w:val="20"/>
        </w:rPr>
        <w:t>Salary and remuneration plan:</w:t>
      </w:r>
    </w:p>
    <w:p w14:paraId="594FF888" w14:textId="40F4407A" w:rsidR="00022E80" w:rsidRPr="00B842DE" w:rsidRDefault="00D26161" w:rsidP="00B842DE">
      <w:pPr>
        <w:numPr>
          <w:ilvl w:val="0"/>
          <w:numId w:val="3"/>
        </w:numPr>
        <w:pBdr>
          <w:top w:val="nil"/>
          <w:left w:val="nil"/>
          <w:bottom w:val="nil"/>
          <w:right w:val="nil"/>
          <w:between w:val="nil"/>
        </w:pBdr>
        <w:tabs>
          <w:tab w:val="left" w:pos="540"/>
          <w:tab w:val="left" w:pos="1588"/>
        </w:tabs>
        <w:spacing w:after="120" w:line="360" w:lineRule="auto"/>
        <w:jc w:val="both"/>
        <w:rPr>
          <w:rFonts w:ascii="Arial" w:hAnsi="Arial" w:cs="Arial"/>
          <w:color w:val="010000"/>
          <w:sz w:val="20"/>
          <w:szCs w:val="20"/>
        </w:rPr>
      </w:pPr>
      <w:r w:rsidRPr="00B842DE">
        <w:rPr>
          <w:rFonts w:ascii="Arial" w:hAnsi="Arial" w:cs="Arial"/>
          <w:color w:val="010000"/>
          <w:sz w:val="20"/>
          <w:szCs w:val="20"/>
        </w:rPr>
        <w:t xml:space="preserve">Remuneration for non-executive members of the Board of Directors and Supervisory Board: VND 288 </w:t>
      </w:r>
      <w:r w:rsidR="009C755C" w:rsidRPr="00B842DE">
        <w:rPr>
          <w:rFonts w:ascii="Arial" w:hAnsi="Arial" w:cs="Arial"/>
          <w:color w:val="010000"/>
          <w:sz w:val="20"/>
          <w:szCs w:val="20"/>
        </w:rPr>
        <w:t>m</w:t>
      </w:r>
      <w:r w:rsidRPr="00B842DE">
        <w:rPr>
          <w:rFonts w:ascii="Arial" w:hAnsi="Arial" w:cs="Arial"/>
          <w:color w:val="010000"/>
          <w:sz w:val="20"/>
          <w:szCs w:val="20"/>
        </w:rPr>
        <w:t>illion.</w:t>
      </w:r>
    </w:p>
    <w:p w14:paraId="6BFE4C0D" w14:textId="77777777" w:rsidR="00022E80" w:rsidRPr="00B842DE" w:rsidRDefault="00D26161" w:rsidP="00B842DE">
      <w:pPr>
        <w:numPr>
          <w:ilvl w:val="0"/>
          <w:numId w:val="3"/>
        </w:numPr>
        <w:pBdr>
          <w:top w:val="nil"/>
          <w:left w:val="nil"/>
          <w:bottom w:val="nil"/>
          <w:right w:val="nil"/>
          <w:between w:val="nil"/>
        </w:pBdr>
        <w:tabs>
          <w:tab w:val="left" w:pos="540"/>
          <w:tab w:val="left" w:pos="1590"/>
        </w:tabs>
        <w:spacing w:after="120" w:line="360" w:lineRule="auto"/>
        <w:jc w:val="both"/>
        <w:rPr>
          <w:rFonts w:ascii="Arial" w:hAnsi="Arial" w:cs="Arial"/>
          <w:color w:val="010000"/>
          <w:sz w:val="20"/>
          <w:szCs w:val="20"/>
        </w:rPr>
      </w:pPr>
      <w:r w:rsidRPr="00B842DE">
        <w:rPr>
          <w:rFonts w:ascii="Arial" w:hAnsi="Arial" w:cs="Arial"/>
          <w:color w:val="010000"/>
          <w:sz w:val="20"/>
          <w:szCs w:val="20"/>
        </w:rPr>
        <w:t>Approve the total basic salary fund according to the plan of the Board of Directors and Chief Accountant in 2024 to be VND 747,302,400. In which:</w:t>
      </w:r>
    </w:p>
    <w:p w14:paraId="15B875FA"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Manager: VND 23,504,000 /month X 12 months X 1 person = VND 282,048,000</w:t>
      </w:r>
    </w:p>
    <w:p w14:paraId="6092B6FC"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 xml:space="preserve">Deputy Manager VND 19,385,600 /month X 12 months X 1 person = VND 232,627,200 </w:t>
      </w:r>
    </w:p>
    <w:p w14:paraId="7782C01A"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Chief Accountant. VND 19,385,600 /month X 12 months X 1 person = VND 232,627,200</w:t>
      </w:r>
    </w:p>
    <w:p w14:paraId="6E10AE7D" w14:textId="29956707" w:rsidR="00022E80" w:rsidRPr="00B842DE" w:rsidRDefault="00D26161" w:rsidP="00B842DE">
      <w:pPr>
        <w:numPr>
          <w:ilvl w:val="0"/>
          <w:numId w:val="3"/>
        </w:numPr>
        <w:pBdr>
          <w:top w:val="nil"/>
          <w:left w:val="nil"/>
          <w:bottom w:val="nil"/>
          <w:right w:val="nil"/>
          <w:between w:val="nil"/>
        </w:pBdr>
        <w:tabs>
          <w:tab w:val="left" w:pos="540"/>
          <w:tab w:val="left" w:pos="1594"/>
        </w:tabs>
        <w:spacing w:after="120" w:line="360" w:lineRule="auto"/>
        <w:jc w:val="both"/>
        <w:rPr>
          <w:rFonts w:ascii="Arial" w:hAnsi="Arial" w:cs="Arial"/>
          <w:color w:val="010000"/>
          <w:sz w:val="20"/>
          <w:szCs w:val="20"/>
        </w:rPr>
      </w:pPr>
      <w:r w:rsidRPr="00B842DE">
        <w:rPr>
          <w:rFonts w:ascii="Arial" w:hAnsi="Arial" w:cs="Arial"/>
          <w:color w:val="010000"/>
          <w:sz w:val="20"/>
          <w:szCs w:val="20"/>
        </w:rPr>
        <w:t xml:space="preserve">Implement salary payment </w:t>
      </w:r>
      <w:r w:rsidR="00B842DE">
        <w:rPr>
          <w:rFonts w:ascii="Arial" w:hAnsi="Arial" w:cs="Arial"/>
          <w:color w:val="010000"/>
          <w:sz w:val="20"/>
          <w:szCs w:val="20"/>
        </w:rPr>
        <w:t>following</w:t>
      </w:r>
      <w:r w:rsidRPr="00B842DE">
        <w:rPr>
          <w:rFonts w:ascii="Arial" w:hAnsi="Arial" w:cs="Arial"/>
          <w:color w:val="010000"/>
          <w:sz w:val="20"/>
          <w:szCs w:val="20"/>
        </w:rPr>
        <w:t xml:space="preserve"> the regulations in Circular 28/2016/TT-BLDTBXH dated September 1, 2016</w:t>
      </w:r>
      <w:r w:rsidR="00B842DE">
        <w:rPr>
          <w:rFonts w:ascii="Arial" w:hAnsi="Arial" w:cs="Arial"/>
          <w:color w:val="010000"/>
          <w:sz w:val="20"/>
          <w:szCs w:val="20"/>
        </w:rPr>
        <w:t>,</w:t>
      </w:r>
      <w:r w:rsidRPr="00B842DE">
        <w:rPr>
          <w:rFonts w:ascii="Arial" w:hAnsi="Arial" w:cs="Arial"/>
          <w:color w:val="010000"/>
          <w:sz w:val="20"/>
          <w:szCs w:val="20"/>
        </w:rPr>
        <w:t xml:space="preserve"> of the Ministry of Labor, Invalids and Social Affairs and Decree 53/2016/ND-CP dated June 13, 2016 of the Government on regulations on labor, salary, remuneration, and bonuses for joint-stock companies with state-controlled capital.</w:t>
      </w:r>
    </w:p>
    <w:p w14:paraId="1102D3CB"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Authorize the Board of Directors to approve the specific salary plan and payment plan for the Board of Managers, Chief Accountant, managers, and employees annually.</w:t>
      </w:r>
    </w:p>
    <w:p w14:paraId="3483D941" w14:textId="14301189" w:rsidR="00022E80" w:rsidRPr="00B842DE" w:rsidRDefault="00D26161" w:rsidP="00B842DE">
      <w:pPr>
        <w:numPr>
          <w:ilvl w:val="0"/>
          <w:numId w:val="2"/>
        </w:numPr>
        <w:pBdr>
          <w:top w:val="nil"/>
          <w:left w:val="nil"/>
          <w:bottom w:val="nil"/>
          <w:right w:val="nil"/>
          <w:between w:val="nil"/>
        </w:pBdr>
        <w:tabs>
          <w:tab w:val="left" w:pos="540"/>
          <w:tab w:val="left" w:pos="1702"/>
        </w:tabs>
        <w:spacing w:after="120" w:line="360" w:lineRule="auto"/>
        <w:jc w:val="both"/>
        <w:rPr>
          <w:rFonts w:ascii="Arial" w:hAnsi="Arial" w:cs="Arial"/>
          <w:color w:val="010000"/>
          <w:sz w:val="20"/>
          <w:szCs w:val="20"/>
        </w:rPr>
      </w:pPr>
      <w:r w:rsidRPr="00B842DE">
        <w:rPr>
          <w:rFonts w:ascii="Arial" w:hAnsi="Arial" w:cs="Arial"/>
          <w:color w:val="010000"/>
          <w:sz w:val="20"/>
          <w:szCs w:val="20"/>
        </w:rPr>
        <w:t>Realized salary: will be settled according to the principles stipulated in Circular No. 28/2016/TT-BLDTBXH dated September 1, 2016</w:t>
      </w:r>
      <w:r w:rsidR="00B842DE">
        <w:rPr>
          <w:rFonts w:ascii="Arial" w:hAnsi="Arial" w:cs="Arial"/>
          <w:color w:val="010000"/>
          <w:sz w:val="20"/>
          <w:szCs w:val="20"/>
        </w:rPr>
        <w:t>,</w:t>
      </w:r>
      <w:r w:rsidRPr="00B842DE">
        <w:rPr>
          <w:rFonts w:ascii="Arial" w:hAnsi="Arial" w:cs="Arial"/>
          <w:color w:val="010000"/>
          <w:sz w:val="20"/>
          <w:szCs w:val="20"/>
        </w:rPr>
        <w:t xml:space="preserve"> of the Ministry of Labor, Invalids and Social Affairs guiding the implementation of regulations on labor, salary, remuneration, bonuses for joint stock companies with state-controlled capital and Decree No. 53/2016 ND-CP dated June 13, 2016 of the Government on regulations on labor, salary, remuneration and bonuses for joint stock companies, taking into account the exclusion of objective factors affecting productivity, which is the actual profit in 2024.</w:t>
      </w:r>
    </w:p>
    <w:p w14:paraId="41326988"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lastRenderedPageBreak/>
        <w:t>‎‎Article 8. Authorize the Board of Directors to select a reputable auditing company from the list of audit companies approved to audit companies of public interest in the securities sector in 2024 by the State Securities Commission to audit the Financial Statements for 2024.</w:t>
      </w:r>
    </w:p>
    <w:p w14:paraId="460754DB" w14:textId="639E3249"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Article 9: Approve supplementing and amending the Company's Charter.</w:t>
      </w:r>
    </w:p>
    <w:p w14:paraId="224F3638" w14:textId="46FC03F2"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Article 10: Approve supplementing and amending the Company's Internal Regulations on Corporate Governance.</w:t>
      </w:r>
    </w:p>
    <w:p w14:paraId="53DFC1F5" w14:textId="4D302432"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Article 11: Approve supplementing and amending the Operating Regulations of the Board of Directors.</w:t>
      </w:r>
    </w:p>
    <w:p w14:paraId="4A20B603" w14:textId="083525BA"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 xml:space="preserve">Article 12: Approve the Purchase and Sale Contract 2025 signed between Hanoi Beer Alcohol And Beverage Joint Stock Corporation and Hanoi - </w:t>
      </w:r>
      <w:proofErr w:type="spellStart"/>
      <w:r w:rsidRPr="00B842DE">
        <w:rPr>
          <w:rFonts w:ascii="Arial" w:hAnsi="Arial" w:cs="Arial"/>
          <w:color w:val="010000"/>
          <w:sz w:val="20"/>
          <w:szCs w:val="20"/>
        </w:rPr>
        <w:t>Quang</w:t>
      </w:r>
      <w:proofErr w:type="spellEnd"/>
      <w:r w:rsidRPr="00B842DE">
        <w:rPr>
          <w:rFonts w:ascii="Arial" w:hAnsi="Arial" w:cs="Arial"/>
          <w:color w:val="010000"/>
          <w:sz w:val="20"/>
          <w:szCs w:val="20"/>
        </w:rPr>
        <w:t xml:space="preserve"> </w:t>
      </w:r>
      <w:proofErr w:type="spellStart"/>
      <w:r w:rsidRPr="00B842DE">
        <w:rPr>
          <w:rFonts w:ascii="Arial" w:hAnsi="Arial" w:cs="Arial"/>
          <w:color w:val="010000"/>
          <w:sz w:val="20"/>
          <w:szCs w:val="20"/>
        </w:rPr>
        <w:t>Binh</w:t>
      </w:r>
      <w:proofErr w:type="spellEnd"/>
      <w:r w:rsidRPr="00B842DE">
        <w:rPr>
          <w:rFonts w:ascii="Arial" w:hAnsi="Arial" w:cs="Arial"/>
          <w:color w:val="010000"/>
          <w:sz w:val="20"/>
          <w:szCs w:val="20"/>
        </w:rPr>
        <w:t xml:space="preserve"> Beer Joint Stock Company.</w:t>
      </w:r>
    </w:p>
    <w:p w14:paraId="63F35B0B"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Article 13: Dismiss members of the Board of Directors due to the expiration of their term.</w:t>
      </w:r>
    </w:p>
    <w:p w14:paraId="09F8998E" w14:textId="77777777" w:rsidR="00022E80" w:rsidRPr="00B842DE" w:rsidRDefault="00D26161" w:rsidP="00B842DE">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B842DE">
        <w:rPr>
          <w:rFonts w:ascii="Arial" w:hAnsi="Arial" w:cs="Arial"/>
          <w:color w:val="010000"/>
          <w:sz w:val="20"/>
          <w:szCs w:val="20"/>
        </w:rPr>
        <w:t>‎‎Article 14. Terms of enforcement</w:t>
      </w:r>
    </w:p>
    <w:p w14:paraId="212786EC" w14:textId="77777777" w:rsidR="00022E80" w:rsidRPr="00B842DE" w:rsidRDefault="00D26161" w:rsidP="00B842DE">
      <w:pPr>
        <w:numPr>
          <w:ilvl w:val="0"/>
          <w:numId w:val="4"/>
        </w:numPr>
        <w:pBdr>
          <w:top w:val="nil"/>
          <w:left w:val="nil"/>
          <w:bottom w:val="nil"/>
          <w:right w:val="nil"/>
          <w:between w:val="nil"/>
        </w:pBdr>
        <w:tabs>
          <w:tab w:val="left" w:pos="540"/>
          <w:tab w:val="left" w:pos="1180"/>
        </w:tabs>
        <w:spacing w:after="120" w:line="360" w:lineRule="auto"/>
        <w:jc w:val="both"/>
        <w:rPr>
          <w:rFonts w:ascii="Arial" w:hAnsi="Arial" w:cs="Arial"/>
          <w:color w:val="010000"/>
          <w:sz w:val="20"/>
          <w:szCs w:val="20"/>
        </w:rPr>
      </w:pPr>
      <w:r w:rsidRPr="00B842DE">
        <w:rPr>
          <w:rFonts w:ascii="Arial" w:hAnsi="Arial" w:cs="Arial"/>
          <w:color w:val="010000"/>
          <w:sz w:val="20"/>
          <w:szCs w:val="20"/>
        </w:rPr>
        <w:t>The entire contents of this General Mandate were unanimously approved by the General Meeting of Shareholders and take effect from the date of signing.</w:t>
      </w:r>
    </w:p>
    <w:p w14:paraId="046FD744" w14:textId="4AE95E5E" w:rsidR="00022E80" w:rsidRPr="00B842DE" w:rsidRDefault="00D26161" w:rsidP="00B842DE">
      <w:pPr>
        <w:numPr>
          <w:ilvl w:val="0"/>
          <w:numId w:val="4"/>
        </w:numPr>
        <w:pBdr>
          <w:top w:val="nil"/>
          <w:left w:val="nil"/>
          <w:bottom w:val="nil"/>
          <w:right w:val="nil"/>
          <w:between w:val="nil"/>
        </w:pBdr>
        <w:tabs>
          <w:tab w:val="left" w:pos="540"/>
          <w:tab w:val="left" w:pos="1176"/>
        </w:tabs>
        <w:spacing w:after="120" w:line="360" w:lineRule="auto"/>
        <w:jc w:val="both"/>
        <w:rPr>
          <w:rFonts w:ascii="Arial" w:hAnsi="Arial" w:cs="Arial"/>
          <w:color w:val="010000"/>
          <w:sz w:val="20"/>
          <w:szCs w:val="20"/>
        </w:rPr>
      </w:pPr>
      <w:r w:rsidRPr="00B842DE">
        <w:rPr>
          <w:rFonts w:ascii="Arial" w:hAnsi="Arial" w:cs="Arial"/>
          <w:color w:val="010000"/>
          <w:sz w:val="20"/>
          <w:szCs w:val="20"/>
        </w:rPr>
        <w:t>Members of the Board of Directors, Supervisory Board, Manager, Deputy Manager</w:t>
      </w:r>
      <w:r w:rsidR="00B842DE">
        <w:rPr>
          <w:rFonts w:ascii="Arial" w:hAnsi="Arial" w:cs="Arial"/>
          <w:color w:val="010000"/>
          <w:sz w:val="20"/>
          <w:szCs w:val="20"/>
        </w:rPr>
        <w:t>,</w:t>
      </w:r>
      <w:r w:rsidRPr="00B842DE">
        <w:rPr>
          <w:rFonts w:ascii="Arial" w:hAnsi="Arial" w:cs="Arial"/>
          <w:color w:val="010000"/>
          <w:sz w:val="20"/>
          <w:szCs w:val="20"/>
        </w:rPr>
        <w:t xml:space="preserve"> and all shareholders of the Company are responsible for implementing this General Mandate.</w:t>
      </w:r>
    </w:p>
    <w:sectPr w:rsidR="00022E80" w:rsidRPr="00B842D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8772E"/>
    <w:multiLevelType w:val="multilevel"/>
    <w:tmpl w:val="CE6446C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D887765"/>
    <w:multiLevelType w:val="multilevel"/>
    <w:tmpl w:val="610A41D4"/>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D35344F"/>
    <w:multiLevelType w:val="multilevel"/>
    <w:tmpl w:val="D55EFB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BC14D24"/>
    <w:multiLevelType w:val="multilevel"/>
    <w:tmpl w:val="557A8D4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6E47426"/>
    <w:multiLevelType w:val="multilevel"/>
    <w:tmpl w:val="6178983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836286F"/>
    <w:multiLevelType w:val="multilevel"/>
    <w:tmpl w:val="E1CE3CD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9CE4B7C"/>
    <w:multiLevelType w:val="multilevel"/>
    <w:tmpl w:val="0F9068A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C890BE5"/>
    <w:multiLevelType w:val="multilevel"/>
    <w:tmpl w:val="EC540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F4905E7"/>
    <w:multiLevelType w:val="multilevel"/>
    <w:tmpl w:val="597A0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521F80"/>
    <w:multiLevelType w:val="multilevel"/>
    <w:tmpl w:val="4F7A85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0"/>
  </w:num>
  <w:num w:numId="3">
    <w:abstractNumId w:val="4"/>
  </w:num>
  <w:num w:numId="4">
    <w:abstractNumId w:val="6"/>
  </w:num>
  <w:num w:numId="5">
    <w:abstractNumId w:val="2"/>
  </w:num>
  <w:num w:numId="6">
    <w:abstractNumId w:val="5"/>
  </w:num>
  <w:num w:numId="7">
    <w:abstractNumId w:val="9"/>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80"/>
    <w:rsid w:val="00022E80"/>
    <w:rsid w:val="003015E1"/>
    <w:rsid w:val="004D231F"/>
    <w:rsid w:val="009C755C"/>
    <w:rsid w:val="00B842DE"/>
    <w:rsid w:val="00C13E47"/>
    <w:rsid w:val="00C76624"/>
    <w:rsid w:val="00D26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1532D"/>
  <w15:docId w15:val="{A71F3AF3-4B68-47DD-980D-09200AD5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6"/>
      <w:szCs w:val="26"/>
      <w:u w:val="none"/>
    </w:rPr>
  </w:style>
  <w:style w:type="character" w:customStyle="1" w:styleId="Heading30">
    <w:name w:val="Heading #3_"/>
    <w:basedOn w:val="DefaultParagraphFont"/>
    <w:link w:val="Heading31"/>
    <w:rPr>
      <w:rFonts w:ascii="Times New Roman" w:eastAsia="Times New Roman" w:hAnsi="Times New Roman" w:cs="Times New Roman"/>
      <w:b/>
      <w:bCs/>
      <w:i/>
      <w:iCs/>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character" w:customStyle="1" w:styleId="Heading10">
    <w:name w:val="Heading #1_"/>
    <w:basedOn w:val="DefaultParagraphFont"/>
    <w:link w:val="Heading11"/>
    <w:rPr>
      <w:rFonts w:ascii="Arial" w:eastAsia="Arial" w:hAnsi="Arial" w:cs="Arial"/>
      <w:b/>
      <w:bCs/>
      <w:i w:val="0"/>
      <w:iCs w:val="0"/>
      <w:smallCaps w:val="0"/>
      <w:strike w:val="0"/>
      <w:sz w:val="34"/>
      <w:szCs w:val="34"/>
      <w:u w:val="none"/>
    </w:rPr>
  </w:style>
  <w:style w:type="paragraph" w:customStyle="1" w:styleId="Other0">
    <w:name w:val="Other"/>
    <w:basedOn w:val="Normal"/>
    <w:link w:val="Other"/>
    <w:pPr>
      <w:spacing w:line="336" w:lineRule="auto"/>
      <w:ind w:firstLine="400"/>
    </w:pPr>
    <w:rPr>
      <w:rFonts w:ascii="Times New Roman" w:eastAsia="Times New Roman" w:hAnsi="Times New Roman" w:cs="Times New Roman"/>
      <w:sz w:val="26"/>
      <w:szCs w:val="26"/>
    </w:rPr>
  </w:style>
  <w:style w:type="paragraph" w:styleId="BodyText">
    <w:name w:val="Body Text"/>
    <w:basedOn w:val="Normal"/>
    <w:link w:val="BodyTextChar"/>
    <w:qFormat/>
    <w:pPr>
      <w:spacing w:line="336" w:lineRule="auto"/>
      <w:ind w:firstLine="400"/>
    </w:pPr>
    <w:rPr>
      <w:rFonts w:ascii="Times New Roman" w:eastAsia="Times New Roman" w:hAnsi="Times New Roman" w:cs="Times New Roman"/>
      <w:sz w:val="26"/>
      <w:szCs w:val="26"/>
    </w:rPr>
  </w:style>
  <w:style w:type="paragraph" w:customStyle="1" w:styleId="Heading21">
    <w:name w:val="Heading #2"/>
    <w:basedOn w:val="Normal"/>
    <w:link w:val="Heading20"/>
    <w:pPr>
      <w:ind w:firstLine="80"/>
      <w:jc w:val="center"/>
      <w:outlineLvl w:val="1"/>
    </w:pPr>
    <w:rPr>
      <w:rFonts w:ascii="Times New Roman" w:eastAsia="Times New Roman" w:hAnsi="Times New Roman" w:cs="Times New Roman"/>
      <w:b/>
      <w:bCs/>
      <w:sz w:val="26"/>
      <w:szCs w:val="26"/>
    </w:rPr>
  </w:style>
  <w:style w:type="paragraph" w:customStyle="1" w:styleId="Bodytext20">
    <w:name w:val="Body text (2)"/>
    <w:basedOn w:val="Normal"/>
    <w:link w:val="Bodytext2"/>
    <w:pPr>
      <w:spacing w:line="300" w:lineRule="auto"/>
      <w:ind w:left="140" w:firstLine="80"/>
    </w:pPr>
    <w:rPr>
      <w:rFonts w:ascii="Times New Roman" w:eastAsia="Times New Roman" w:hAnsi="Times New Roman" w:cs="Times New Roman"/>
      <w:i/>
      <w:iCs/>
      <w:sz w:val="26"/>
      <w:szCs w:val="26"/>
    </w:rPr>
  </w:style>
  <w:style w:type="paragraph" w:customStyle="1" w:styleId="Heading31">
    <w:name w:val="Heading #3"/>
    <w:basedOn w:val="Normal"/>
    <w:link w:val="Heading30"/>
    <w:pPr>
      <w:spacing w:line="403" w:lineRule="auto"/>
      <w:ind w:firstLine="860"/>
      <w:outlineLvl w:val="2"/>
    </w:pPr>
    <w:rPr>
      <w:rFonts w:ascii="Times New Roman" w:eastAsia="Times New Roman" w:hAnsi="Times New Roman" w:cs="Times New Roman"/>
      <w:b/>
      <w:bCs/>
      <w:i/>
      <w:iCs/>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Heading11">
    <w:name w:val="Heading #1"/>
    <w:basedOn w:val="Normal"/>
    <w:link w:val="Heading10"/>
    <w:pPr>
      <w:ind w:left="1530"/>
      <w:outlineLvl w:val="0"/>
    </w:pPr>
    <w:rPr>
      <w:rFonts w:ascii="Arial" w:eastAsia="Arial" w:hAnsi="Arial" w:cs="Arial"/>
      <w:b/>
      <w:bCs/>
      <w:sz w:val="34"/>
      <w:szCs w:val="34"/>
    </w:rPr>
  </w:style>
  <w:style w:type="table" w:styleId="TableGrid">
    <w:name w:val="Table Grid"/>
    <w:basedOn w:val="TableNormal"/>
    <w:uiPriority w:val="39"/>
    <w:rsid w:val="00225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C+XJH4gzHyriH2BK4hmQm/Umw==">CgMxLjA4AHIhMVNFWUFOMHd1X01KcHJ6cEVoZHVaQjJPdi1yNzRMZlJf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1006</Words>
  <Characters>5770</Characters>
  <Application>Microsoft Office Word</Application>
  <DocSecurity>0</DocSecurity>
  <Lines>213</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2024-05-03T02:38:00Z</dcterms:created>
  <dcterms:modified xsi:type="dcterms:W3CDTF">2024-05-04T09:04:00Z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37a957348934ce9fc0b5c93e3f9ee77e1f74bf086c34ab249cb3d8e0fa62901c</vt:lpwstr>
  </property>
</Properties>
</file>