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AFC94" w14:textId="77777777" w:rsidR="00A30288" w:rsidRDefault="0011739D">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Pr>
          <w:rFonts w:ascii="Arial" w:hAnsi="Arial"/>
          <w:b/>
          <w:color w:val="010000"/>
          <w:sz w:val="20"/>
        </w:rPr>
        <w:t>CBI: Annual General Mandate 2024</w:t>
      </w:r>
    </w:p>
    <w:p w14:paraId="00889DB9" w14:textId="77777777" w:rsidR="00A30288" w:rsidRDefault="001173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April 24, 2024, Cao Bang Cast Iron &amp; Steel JSC announced General Mandate No. 682/NQ-DHDCD as follows:</w:t>
      </w:r>
    </w:p>
    <w:p w14:paraId="14178186" w14:textId="77777777" w:rsidR="00A30288" w:rsidRDefault="0011739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 Approve the Report on production and business results, construction investment in 2023 and the Plan for production and business, construction investment in 2024 of Cao Bang Cast Iron &amp; Steel JSC, with the main targets as follows:</w:t>
      </w:r>
    </w:p>
    <w:p w14:paraId="64D0B7D0" w14:textId="77777777" w:rsidR="00A30288" w:rsidRDefault="0011739D">
      <w:pPr>
        <w:numPr>
          <w:ilvl w:val="0"/>
          <w:numId w:val="2"/>
        </w:numPr>
        <w:pBdr>
          <w:top w:val="nil"/>
          <w:left w:val="nil"/>
          <w:bottom w:val="nil"/>
          <w:right w:val="nil"/>
          <w:between w:val="nil"/>
        </w:pBdr>
        <w:tabs>
          <w:tab w:val="left" w:pos="432"/>
          <w:tab w:val="left" w:pos="1069"/>
        </w:tabs>
        <w:spacing w:after="120" w:line="360" w:lineRule="auto"/>
        <w:rPr>
          <w:rFonts w:ascii="Arial" w:eastAsia="Arial" w:hAnsi="Arial" w:cs="Arial"/>
          <w:color w:val="010000"/>
          <w:sz w:val="20"/>
          <w:szCs w:val="20"/>
        </w:rPr>
      </w:pPr>
      <w:r>
        <w:rPr>
          <w:rFonts w:ascii="Arial" w:hAnsi="Arial"/>
          <w:color w:val="010000"/>
          <w:sz w:val="20"/>
        </w:rPr>
        <w:t>Results of implementing main production and business targets, construction investment in 2023:</w:t>
      </w:r>
    </w:p>
    <w:tbl>
      <w:tblPr>
        <w:tblStyle w:val="a"/>
        <w:tblW w:w="9017" w:type="dxa"/>
        <w:jc w:val="center"/>
        <w:tblLayout w:type="fixed"/>
        <w:tblLook w:val="0400" w:firstRow="0" w:lastRow="0" w:firstColumn="0" w:lastColumn="0" w:noHBand="0" w:noVBand="1"/>
      </w:tblPr>
      <w:tblGrid>
        <w:gridCol w:w="776"/>
        <w:gridCol w:w="2760"/>
        <w:gridCol w:w="1316"/>
        <w:gridCol w:w="1518"/>
        <w:gridCol w:w="1477"/>
        <w:gridCol w:w="1170"/>
      </w:tblGrid>
      <w:tr w:rsidR="00A30288" w14:paraId="71689CD9" w14:textId="77777777">
        <w:trPr>
          <w:jc w:val="center"/>
        </w:trPr>
        <w:tc>
          <w:tcPr>
            <w:tcW w:w="77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6288C81"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7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A2FC3E"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Main targets</w:t>
            </w:r>
          </w:p>
        </w:tc>
        <w:tc>
          <w:tcPr>
            <w:tcW w:w="131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B3A606"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Unit</w:t>
            </w:r>
          </w:p>
        </w:tc>
        <w:tc>
          <w:tcPr>
            <w:tcW w:w="151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DF5034E"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Plan 2023</w:t>
            </w:r>
          </w:p>
        </w:tc>
        <w:tc>
          <w:tcPr>
            <w:tcW w:w="147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8C99FB"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Results 2023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BFC196F"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Comparison (%)</w:t>
            </w:r>
          </w:p>
        </w:tc>
      </w:tr>
      <w:tr w:rsidR="00A30288" w14:paraId="09A9F1AC" w14:textId="77777777">
        <w:trPr>
          <w:jc w:val="center"/>
        </w:trPr>
        <w:tc>
          <w:tcPr>
            <w:tcW w:w="77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55635C1"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7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7590FF1" w14:textId="77777777" w:rsidR="00A30288" w:rsidRDefault="001173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Revenue</w:t>
            </w:r>
          </w:p>
        </w:tc>
        <w:tc>
          <w:tcPr>
            <w:tcW w:w="131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EC580CB"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151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9EAC955"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3,413,360</w:t>
            </w:r>
          </w:p>
        </w:tc>
        <w:tc>
          <w:tcPr>
            <w:tcW w:w="147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3A96B3"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2,617,636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5B41C2F"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76.6</w:t>
            </w:r>
          </w:p>
        </w:tc>
      </w:tr>
      <w:tr w:rsidR="00A30288" w14:paraId="271FED73" w14:textId="77777777">
        <w:trPr>
          <w:jc w:val="center"/>
        </w:trPr>
        <w:tc>
          <w:tcPr>
            <w:tcW w:w="77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A9089B"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7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BC1A33" w14:textId="77777777" w:rsidR="00A30288" w:rsidRDefault="001173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131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45BB9D"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151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73B72DE"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47,771</w:t>
            </w:r>
          </w:p>
        </w:tc>
        <w:tc>
          <w:tcPr>
            <w:tcW w:w="147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EB279CE"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1,388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FF78E6F"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2.9</w:t>
            </w:r>
          </w:p>
        </w:tc>
      </w:tr>
      <w:tr w:rsidR="00A30288" w14:paraId="182BA489" w14:textId="77777777">
        <w:trPr>
          <w:jc w:val="center"/>
        </w:trPr>
        <w:tc>
          <w:tcPr>
            <w:tcW w:w="77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EE5264D"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7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7FB236E" w14:textId="77777777" w:rsidR="00A30288" w:rsidRDefault="001173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Payable to state budget:</w:t>
            </w:r>
          </w:p>
        </w:tc>
        <w:tc>
          <w:tcPr>
            <w:tcW w:w="131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8AE311"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151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35CE2F"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91,058</w:t>
            </w:r>
          </w:p>
        </w:tc>
        <w:tc>
          <w:tcPr>
            <w:tcW w:w="147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2338DBC"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38,981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ED122A9"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42.8</w:t>
            </w:r>
          </w:p>
        </w:tc>
      </w:tr>
      <w:tr w:rsidR="00A30288" w14:paraId="267B368A" w14:textId="77777777">
        <w:trPr>
          <w:jc w:val="center"/>
        </w:trPr>
        <w:tc>
          <w:tcPr>
            <w:tcW w:w="77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53C7E7"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27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228C23B" w14:textId="77777777" w:rsidR="00A30288" w:rsidRDefault="001173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salary fund:</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B03F0E"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151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6FCC09"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112,801</w:t>
            </w:r>
          </w:p>
        </w:tc>
        <w:tc>
          <w:tcPr>
            <w:tcW w:w="147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FF347D7"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93,568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17E363"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82.9</w:t>
            </w:r>
          </w:p>
        </w:tc>
      </w:tr>
      <w:tr w:rsidR="00A30288" w14:paraId="7ADFC83A" w14:textId="77777777">
        <w:trPr>
          <w:jc w:val="center"/>
        </w:trPr>
        <w:tc>
          <w:tcPr>
            <w:tcW w:w="77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FE82359"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27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7A0F7A7" w14:textId="77777777" w:rsidR="00A30288" w:rsidRDefault="001173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Average salary</w:t>
            </w:r>
          </w:p>
        </w:tc>
        <w:tc>
          <w:tcPr>
            <w:tcW w:w="131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549B835"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Million VND/person/month</w:t>
            </w:r>
          </w:p>
        </w:tc>
        <w:tc>
          <w:tcPr>
            <w:tcW w:w="151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82C8A5F"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11.75</w:t>
            </w:r>
          </w:p>
        </w:tc>
        <w:tc>
          <w:tcPr>
            <w:tcW w:w="147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FC50C11"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10.13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6CD2CC"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86.2</w:t>
            </w:r>
          </w:p>
        </w:tc>
      </w:tr>
      <w:tr w:rsidR="00A30288" w14:paraId="01C0BE0F" w14:textId="77777777">
        <w:trPr>
          <w:jc w:val="center"/>
        </w:trPr>
        <w:tc>
          <w:tcPr>
            <w:tcW w:w="77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115D64"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27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38BD24" w14:textId="77777777" w:rsidR="00A30288" w:rsidRDefault="001173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Steel billet production</w:t>
            </w:r>
          </w:p>
        </w:tc>
        <w:tc>
          <w:tcPr>
            <w:tcW w:w="131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2BCD2A4"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Tons</w:t>
            </w:r>
          </w:p>
        </w:tc>
        <w:tc>
          <w:tcPr>
            <w:tcW w:w="151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0E998C6"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220,000</w:t>
            </w:r>
          </w:p>
        </w:tc>
        <w:tc>
          <w:tcPr>
            <w:tcW w:w="147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C96AA71"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206,552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15789B"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93.8</w:t>
            </w:r>
          </w:p>
        </w:tc>
      </w:tr>
      <w:tr w:rsidR="00A30288" w14:paraId="1B46E9D2" w14:textId="77777777">
        <w:trPr>
          <w:jc w:val="center"/>
        </w:trPr>
        <w:tc>
          <w:tcPr>
            <w:tcW w:w="77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A4800B7"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w:t>
            </w:r>
          </w:p>
        </w:tc>
        <w:tc>
          <w:tcPr>
            <w:tcW w:w="27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7506053" w14:textId="77777777" w:rsidR="00A30288" w:rsidRDefault="001173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Steel billet consumption</w:t>
            </w:r>
          </w:p>
        </w:tc>
        <w:tc>
          <w:tcPr>
            <w:tcW w:w="131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18C1398"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Tons</w:t>
            </w:r>
          </w:p>
        </w:tc>
        <w:tc>
          <w:tcPr>
            <w:tcW w:w="151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D84D9C"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230,000</w:t>
            </w:r>
          </w:p>
        </w:tc>
        <w:tc>
          <w:tcPr>
            <w:tcW w:w="147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6265E00"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193,058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F0DC7A"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83.9</w:t>
            </w:r>
          </w:p>
        </w:tc>
      </w:tr>
      <w:tr w:rsidR="00A30288" w14:paraId="74F06210" w14:textId="77777777">
        <w:trPr>
          <w:jc w:val="center"/>
        </w:trPr>
        <w:tc>
          <w:tcPr>
            <w:tcW w:w="77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84EB4B"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w:t>
            </w:r>
          </w:p>
        </w:tc>
        <w:tc>
          <w:tcPr>
            <w:tcW w:w="27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8435318" w14:textId="77777777" w:rsidR="00A30288" w:rsidRDefault="001173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Construction investment value</w:t>
            </w:r>
          </w:p>
        </w:tc>
        <w:tc>
          <w:tcPr>
            <w:tcW w:w="131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9D7980F"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151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F15736"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24,600</w:t>
            </w:r>
          </w:p>
        </w:tc>
        <w:tc>
          <w:tcPr>
            <w:tcW w:w="147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BAB6B57"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13,765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A41AF56"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55.9</w:t>
            </w:r>
          </w:p>
        </w:tc>
      </w:tr>
    </w:tbl>
    <w:p w14:paraId="44EEE843" w14:textId="77777777" w:rsidR="00A30288" w:rsidRDefault="0011739D">
      <w:pPr>
        <w:numPr>
          <w:ilvl w:val="0"/>
          <w:numId w:val="2"/>
        </w:numPr>
        <w:pBdr>
          <w:top w:val="nil"/>
          <w:left w:val="nil"/>
          <w:bottom w:val="nil"/>
          <w:right w:val="nil"/>
          <w:between w:val="nil"/>
        </w:pBdr>
        <w:tabs>
          <w:tab w:val="left" w:pos="432"/>
          <w:tab w:val="left" w:pos="1076"/>
        </w:tabs>
        <w:spacing w:after="120" w:line="360" w:lineRule="auto"/>
        <w:rPr>
          <w:rFonts w:ascii="Arial" w:eastAsia="Arial" w:hAnsi="Arial" w:cs="Arial"/>
          <w:color w:val="010000"/>
          <w:sz w:val="20"/>
          <w:szCs w:val="20"/>
        </w:rPr>
      </w:pPr>
      <w:r>
        <w:rPr>
          <w:rFonts w:ascii="Arial" w:hAnsi="Arial"/>
          <w:color w:val="010000"/>
          <w:sz w:val="20"/>
        </w:rPr>
        <w:t>Targets of the Plan for main production and business, construction investment in 2024:</w:t>
      </w:r>
    </w:p>
    <w:tbl>
      <w:tblPr>
        <w:tblStyle w:val="a0"/>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4"/>
        <w:gridCol w:w="2401"/>
        <w:gridCol w:w="1881"/>
        <w:gridCol w:w="1477"/>
        <w:gridCol w:w="1331"/>
        <w:gridCol w:w="1183"/>
      </w:tblGrid>
      <w:tr w:rsidR="00A30288" w14:paraId="5F78CA3E" w14:textId="77777777" w:rsidTr="00F86BE5">
        <w:trPr>
          <w:jc w:val="center"/>
        </w:trPr>
        <w:tc>
          <w:tcPr>
            <w:tcW w:w="744" w:type="dxa"/>
            <w:shd w:val="clear" w:color="auto" w:fill="auto"/>
            <w:tcMar>
              <w:top w:w="0" w:type="dxa"/>
              <w:bottom w:w="0" w:type="dxa"/>
            </w:tcMar>
            <w:vAlign w:val="center"/>
          </w:tcPr>
          <w:p w14:paraId="1C513446"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401" w:type="dxa"/>
            <w:shd w:val="clear" w:color="auto" w:fill="auto"/>
            <w:tcMar>
              <w:top w:w="0" w:type="dxa"/>
              <w:bottom w:w="0" w:type="dxa"/>
            </w:tcMar>
            <w:vAlign w:val="center"/>
          </w:tcPr>
          <w:p w14:paraId="724F246A"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Main targets</w:t>
            </w:r>
          </w:p>
        </w:tc>
        <w:tc>
          <w:tcPr>
            <w:tcW w:w="1881" w:type="dxa"/>
            <w:shd w:val="clear" w:color="auto" w:fill="auto"/>
            <w:tcMar>
              <w:top w:w="0" w:type="dxa"/>
              <w:bottom w:w="0" w:type="dxa"/>
            </w:tcMar>
            <w:vAlign w:val="center"/>
          </w:tcPr>
          <w:p w14:paraId="6134DF2E"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Unit</w:t>
            </w:r>
          </w:p>
        </w:tc>
        <w:tc>
          <w:tcPr>
            <w:tcW w:w="1477" w:type="dxa"/>
            <w:shd w:val="clear" w:color="auto" w:fill="auto"/>
            <w:tcMar>
              <w:top w:w="0" w:type="dxa"/>
              <w:bottom w:w="0" w:type="dxa"/>
            </w:tcMar>
            <w:vAlign w:val="center"/>
          </w:tcPr>
          <w:p w14:paraId="4462DE79"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Results 2023</w:t>
            </w:r>
          </w:p>
        </w:tc>
        <w:tc>
          <w:tcPr>
            <w:tcW w:w="1331" w:type="dxa"/>
            <w:shd w:val="clear" w:color="auto" w:fill="auto"/>
            <w:tcMar>
              <w:top w:w="0" w:type="dxa"/>
              <w:bottom w:w="0" w:type="dxa"/>
            </w:tcMar>
            <w:vAlign w:val="center"/>
          </w:tcPr>
          <w:p w14:paraId="1FFD9DFA"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Plan 2024</w:t>
            </w:r>
          </w:p>
        </w:tc>
        <w:tc>
          <w:tcPr>
            <w:tcW w:w="1183" w:type="dxa"/>
            <w:shd w:val="clear" w:color="auto" w:fill="auto"/>
            <w:tcMar>
              <w:top w:w="0" w:type="dxa"/>
              <w:bottom w:w="0" w:type="dxa"/>
            </w:tcMar>
            <w:vAlign w:val="center"/>
          </w:tcPr>
          <w:p w14:paraId="5FA24760"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Comparison</w:t>
            </w:r>
          </w:p>
          <w:p w14:paraId="6F99199F"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r>
      <w:tr w:rsidR="00A30288" w14:paraId="4D395059" w14:textId="77777777" w:rsidTr="00F86BE5">
        <w:trPr>
          <w:jc w:val="center"/>
        </w:trPr>
        <w:tc>
          <w:tcPr>
            <w:tcW w:w="744" w:type="dxa"/>
            <w:shd w:val="clear" w:color="auto" w:fill="auto"/>
            <w:tcMar>
              <w:top w:w="0" w:type="dxa"/>
              <w:bottom w:w="0" w:type="dxa"/>
            </w:tcMar>
            <w:vAlign w:val="center"/>
          </w:tcPr>
          <w:p w14:paraId="37F39280"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401" w:type="dxa"/>
            <w:shd w:val="clear" w:color="auto" w:fill="auto"/>
            <w:tcMar>
              <w:top w:w="0" w:type="dxa"/>
              <w:bottom w:w="0" w:type="dxa"/>
            </w:tcMar>
            <w:vAlign w:val="center"/>
          </w:tcPr>
          <w:p w14:paraId="16481A82" w14:textId="77777777" w:rsidR="00A30288" w:rsidRDefault="001173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Revenue</w:t>
            </w:r>
          </w:p>
        </w:tc>
        <w:tc>
          <w:tcPr>
            <w:tcW w:w="1881" w:type="dxa"/>
            <w:shd w:val="clear" w:color="auto" w:fill="auto"/>
            <w:tcMar>
              <w:top w:w="0" w:type="dxa"/>
              <w:bottom w:w="0" w:type="dxa"/>
            </w:tcMar>
            <w:vAlign w:val="center"/>
          </w:tcPr>
          <w:p w14:paraId="672DB72E"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1477" w:type="dxa"/>
            <w:shd w:val="clear" w:color="auto" w:fill="auto"/>
            <w:tcMar>
              <w:top w:w="0" w:type="dxa"/>
              <w:bottom w:w="0" w:type="dxa"/>
            </w:tcMar>
            <w:vAlign w:val="center"/>
          </w:tcPr>
          <w:p w14:paraId="5FD94443"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2,617,636</w:t>
            </w:r>
          </w:p>
        </w:tc>
        <w:tc>
          <w:tcPr>
            <w:tcW w:w="1331" w:type="dxa"/>
            <w:shd w:val="clear" w:color="auto" w:fill="auto"/>
            <w:tcMar>
              <w:top w:w="0" w:type="dxa"/>
              <w:bottom w:w="0" w:type="dxa"/>
            </w:tcMar>
            <w:vAlign w:val="center"/>
          </w:tcPr>
          <w:p w14:paraId="2D1CB567"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3,056,958</w:t>
            </w:r>
          </w:p>
        </w:tc>
        <w:tc>
          <w:tcPr>
            <w:tcW w:w="1183" w:type="dxa"/>
            <w:shd w:val="clear" w:color="auto" w:fill="auto"/>
            <w:tcMar>
              <w:top w:w="0" w:type="dxa"/>
              <w:bottom w:w="0" w:type="dxa"/>
            </w:tcMar>
            <w:vAlign w:val="center"/>
          </w:tcPr>
          <w:p w14:paraId="4167FBF2"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117</w:t>
            </w:r>
          </w:p>
        </w:tc>
      </w:tr>
      <w:tr w:rsidR="00A30288" w14:paraId="3AC3748C" w14:textId="77777777" w:rsidTr="00F86BE5">
        <w:trPr>
          <w:jc w:val="center"/>
        </w:trPr>
        <w:tc>
          <w:tcPr>
            <w:tcW w:w="744" w:type="dxa"/>
            <w:shd w:val="clear" w:color="auto" w:fill="auto"/>
            <w:tcMar>
              <w:top w:w="0" w:type="dxa"/>
              <w:bottom w:w="0" w:type="dxa"/>
            </w:tcMar>
            <w:vAlign w:val="center"/>
          </w:tcPr>
          <w:p w14:paraId="2ACC5394"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401" w:type="dxa"/>
            <w:shd w:val="clear" w:color="auto" w:fill="auto"/>
            <w:tcMar>
              <w:top w:w="0" w:type="dxa"/>
              <w:bottom w:w="0" w:type="dxa"/>
            </w:tcMar>
            <w:vAlign w:val="center"/>
          </w:tcPr>
          <w:p w14:paraId="7BAF2828" w14:textId="77777777" w:rsidR="00A30288" w:rsidRDefault="001173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1881" w:type="dxa"/>
            <w:shd w:val="clear" w:color="auto" w:fill="auto"/>
            <w:tcMar>
              <w:top w:w="0" w:type="dxa"/>
              <w:bottom w:w="0" w:type="dxa"/>
            </w:tcMar>
            <w:vAlign w:val="center"/>
          </w:tcPr>
          <w:p w14:paraId="09A48D1B"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1477" w:type="dxa"/>
            <w:shd w:val="clear" w:color="auto" w:fill="auto"/>
            <w:tcMar>
              <w:top w:w="0" w:type="dxa"/>
              <w:bottom w:w="0" w:type="dxa"/>
            </w:tcMar>
            <w:vAlign w:val="center"/>
          </w:tcPr>
          <w:p w14:paraId="08C600FB"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1,388</w:t>
            </w:r>
          </w:p>
        </w:tc>
        <w:tc>
          <w:tcPr>
            <w:tcW w:w="1331" w:type="dxa"/>
            <w:shd w:val="clear" w:color="auto" w:fill="auto"/>
            <w:tcMar>
              <w:top w:w="0" w:type="dxa"/>
              <w:bottom w:w="0" w:type="dxa"/>
            </w:tcMar>
            <w:vAlign w:val="center"/>
          </w:tcPr>
          <w:p w14:paraId="2F204B31"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5,012</w:t>
            </w:r>
          </w:p>
        </w:tc>
        <w:tc>
          <w:tcPr>
            <w:tcW w:w="1183" w:type="dxa"/>
            <w:shd w:val="clear" w:color="auto" w:fill="auto"/>
            <w:tcMar>
              <w:top w:w="0" w:type="dxa"/>
              <w:bottom w:w="0" w:type="dxa"/>
            </w:tcMar>
            <w:vAlign w:val="center"/>
          </w:tcPr>
          <w:p w14:paraId="04F15E83"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361</w:t>
            </w:r>
          </w:p>
        </w:tc>
      </w:tr>
      <w:tr w:rsidR="00A30288" w14:paraId="4EADD66D" w14:textId="77777777" w:rsidTr="00F86BE5">
        <w:trPr>
          <w:jc w:val="center"/>
        </w:trPr>
        <w:tc>
          <w:tcPr>
            <w:tcW w:w="744" w:type="dxa"/>
            <w:shd w:val="clear" w:color="auto" w:fill="auto"/>
            <w:tcMar>
              <w:top w:w="0" w:type="dxa"/>
              <w:bottom w:w="0" w:type="dxa"/>
            </w:tcMar>
            <w:vAlign w:val="center"/>
          </w:tcPr>
          <w:p w14:paraId="775AF819"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401" w:type="dxa"/>
            <w:shd w:val="clear" w:color="auto" w:fill="auto"/>
            <w:tcMar>
              <w:top w:w="0" w:type="dxa"/>
              <w:bottom w:w="0" w:type="dxa"/>
            </w:tcMar>
            <w:vAlign w:val="center"/>
          </w:tcPr>
          <w:p w14:paraId="77ECBDBB" w14:textId="77777777" w:rsidR="00A30288" w:rsidRDefault="001173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Payable to state budget:</w:t>
            </w:r>
          </w:p>
        </w:tc>
        <w:tc>
          <w:tcPr>
            <w:tcW w:w="1881" w:type="dxa"/>
            <w:shd w:val="clear" w:color="auto" w:fill="auto"/>
            <w:tcMar>
              <w:top w:w="0" w:type="dxa"/>
              <w:bottom w:w="0" w:type="dxa"/>
            </w:tcMar>
            <w:vAlign w:val="center"/>
          </w:tcPr>
          <w:p w14:paraId="5037A971"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1477" w:type="dxa"/>
            <w:shd w:val="clear" w:color="auto" w:fill="auto"/>
            <w:tcMar>
              <w:top w:w="0" w:type="dxa"/>
              <w:bottom w:w="0" w:type="dxa"/>
            </w:tcMar>
            <w:vAlign w:val="center"/>
          </w:tcPr>
          <w:p w14:paraId="026C2D4B"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35,666</w:t>
            </w:r>
          </w:p>
        </w:tc>
        <w:tc>
          <w:tcPr>
            <w:tcW w:w="1331" w:type="dxa"/>
            <w:shd w:val="clear" w:color="auto" w:fill="auto"/>
            <w:tcMar>
              <w:top w:w="0" w:type="dxa"/>
              <w:bottom w:w="0" w:type="dxa"/>
            </w:tcMar>
            <w:vAlign w:val="center"/>
          </w:tcPr>
          <w:p w14:paraId="0B12568A"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69,546</w:t>
            </w:r>
          </w:p>
        </w:tc>
        <w:tc>
          <w:tcPr>
            <w:tcW w:w="1183" w:type="dxa"/>
            <w:shd w:val="clear" w:color="auto" w:fill="auto"/>
            <w:tcMar>
              <w:top w:w="0" w:type="dxa"/>
              <w:bottom w:w="0" w:type="dxa"/>
            </w:tcMar>
            <w:vAlign w:val="center"/>
          </w:tcPr>
          <w:p w14:paraId="598E99C4"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195</w:t>
            </w:r>
          </w:p>
        </w:tc>
      </w:tr>
      <w:tr w:rsidR="00A30288" w14:paraId="2F3A3A8B" w14:textId="77777777" w:rsidTr="00F86BE5">
        <w:trPr>
          <w:jc w:val="center"/>
        </w:trPr>
        <w:tc>
          <w:tcPr>
            <w:tcW w:w="744" w:type="dxa"/>
            <w:shd w:val="clear" w:color="auto" w:fill="auto"/>
            <w:tcMar>
              <w:top w:w="0" w:type="dxa"/>
              <w:bottom w:w="0" w:type="dxa"/>
            </w:tcMar>
            <w:vAlign w:val="center"/>
          </w:tcPr>
          <w:p w14:paraId="7E07E32B"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2401" w:type="dxa"/>
            <w:shd w:val="clear" w:color="auto" w:fill="auto"/>
            <w:tcMar>
              <w:top w:w="0" w:type="dxa"/>
              <w:bottom w:w="0" w:type="dxa"/>
            </w:tcMar>
            <w:vAlign w:val="center"/>
          </w:tcPr>
          <w:p w14:paraId="0FA2E515" w14:textId="77777777" w:rsidR="00A30288" w:rsidRDefault="001173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salary fund:</w:t>
            </w:r>
          </w:p>
        </w:tc>
        <w:tc>
          <w:tcPr>
            <w:tcW w:w="1881" w:type="dxa"/>
            <w:shd w:val="clear" w:color="auto" w:fill="auto"/>
            <w:tcMar>
              <w:top w:w="0" w:type="dxa"/>
              <w:bottom w:w="0" w:type="dxa"/>
            </w:tcMar>
            <w:vAlign w:val="center"/>
          </w:tcPr>
          <w:p w14:paraId="773AFEDD"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1477" w:type="dxa"/>
            <w:shd w:val="clear" w:color="auto" w:fill="auto"/>
            <w:tcMar>
              <w:top w:w="0" w:type="dxa"/>
              <w:bottom w:w="0" w:type="dxa"/>
            </w:tcMar>
            <w:vAlign w:val="center"/>
          </w:tcPr>
          <w:p w14:paraId="2D5052E1"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93,568</w:t>
            </w:r>
          </w:p>
        </w:tc>
        <w:tc>
          <w:tcPr>
            <w:tcW w:w="1331" w:type="dxa"/>
            <w:shd w:val="clear" w:color="auto" w:fill="auto"/>
            <w:tcMar>
              <w:top w:w="0" w:type="dxa"/>
              <w:bottom w:w="0" w:type="dxa"/>
            </w:tcMar>
            <w:vAlign w:val="center"/>
          </w:tcPr>
          <w:p w14:paraId="7D885F78"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100,441</w:t>
            </w:r>
          </w:p>
        </w:tc>
        <w:tc>
          <w:tcPr>
            <w:tcW w:w="1183" w:type="dxa"/>
            <w:shd w:val="clear" w:color="auto" w:fill="auto"/>
            <w:tcMar>
              <w:top w:w="0" w:type="dxa"/>
              <w:bottom w:w="0" w:type="dxa"/>
            </w:tcMar>
            <w:vAlign w:val="center"/>
          </w:tcPr>
          <w:p w14:paraId="73C387B6"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107</w:t>
            </w:r>
          </w:p>
        </w:tc>
      </w:tr>
      <w:tr w:rsidR="00A30288" w14:paraId="5C488EA9" w14:textId="77777777" w:rsidTr="00F86BE5">
        <w:trPr>
          <w:jc w:val="center"/>
        </w:trPr>
        <w:tc>
          <w:tcPr>
            <w:tcW w:w="744" w:type="dxa"/>
            <w:shd w:val="clear" w:color="auto" w:fill="auto"/>
            <w:tcMar>
              <w:top w:w="0" w:type="dxa"/>
              <w:bottom w:w="0" w:type="dxa"/>
            </w:tcMar>
            <w:vAlign w:val="center"/>
          </w:tcPr>
          <w:p w14:paraId="67E4AFD9"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2401" w:type="dxa"/>
            <w:shd w:val="clear" w:color="auto" w:fill="auto"/>
            <w:tcMar>
              <w:top w:w="0" w:type="dxa"/>
              <w:bottom w:w="0" w:type="dxa"/>
            </w:tcMar>
            <w:vAlign w:val="center"/>
          </w:tcPr>
          <w:p w14:paraId="4B3B115E" w14:textId="77777777" w:rsidR="00A30288" w:rsidRDefault="001173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Average salary</w:t>
            </w:r>
          </w:p>
        </w:tc>
        <w:tc>
          <w:tcPr>
            <w:tcW w:w="1881" w:type="dxa"/>
            <w:shd w:val="clear" w:color="auto" w:fill="auto"/>
            <w:tcMar>
              <w:top w:w="0" w:type="dxa"/>
              <w:bottom w:w="0" w:type="dxa"/>
            </w:tcMar>
            <w:vAlign w:val="center"/>
          </w:tcPr>
          <w:p w14:paraId="34160E74"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Million VND/person/month</w:t>
            </w:r>
          </w:p>
        </w:tc>
        <w:tc>
          <w:tcPr>
            <w:tcW w:w="1477" w:type="dxa"/>
            <w:shd w:val="clear" w:color="auto" w:fill="auto"/>
            <w:tcMar>
              <w:top w:w="0" w:type="dxa"/>
              <w:bottom w:w="0" w:type="dxa"/>
            </w:tcMar>
            <w:vAlign w:val="center"/>
          </w:tcPr>
          <w:p w14:paraId="4D3540AC"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10.13</w:t>
            </w:r>
          </w:p>
        </w:tc>
        <w:tc>
          <w:tcPr>
            <w:tcW w:w="1331" w:type="dxa"/>
            <w:shd w:val="clear" w:color="auto" w:fill="auto"/>
            <w:tcMar>
              <w:top w:w="0" w:type="dxa"/>
              <w:bottom w:w="0" w:type="dxa"/>
            </w:tcMar>
            <w:vAlign w:val="center"/>
          </w:tcPr>
          <w:p w14:paraId="0EFED9BC"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10.46</w:t>
            </w:r>
          </w:p>
        </w:tc>
        <w:tc>
          <w:tcPr>
            <w:tcW w:w="1183" w:type="dxa"/>
            <w:shd w:val="clear" w:color="auto" w:fill="auto"/>
            <w:tcMar>
              <w:top w:w="0" w:type="dxa"/>
              <w:bottom w:w="0" w:type="dxa"/>
            </w:tcMar>
            <w:vAlign w:val="center"/>
          </w:tcPr>
          <w:p w14:paraId="61F3AD34"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103</w:t>
            </w:r>
          </w:p>
        </w:tc>
      </w:tr>
      <w:tr w:rsidR="00A30288" w14:paraId="5F05DB5E" w14:textId="77777777" w:rsidTr="00F86BE5">
        <w:trPr>
          <w:jc w:val="center"/>
        </w:trPr>
        <w:tc>
          <w:tcPr>
            <w:tcW w:w="744" w:type="dxa"/>
            <w:shd w:val="clear" w:color="auto" w:fill="auto"/>
            <w:tcMar>
              <w:top w:w="0" w:type="dxa"/>
              <w:bottom w:w="0" w:type="dxa"/>
            </w:tcMar>
            <w:vAlign w:val="center"/>
          </w:tcPr>
          <w:p w14:paraId="6695E360"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2401" w:type="dxa"/>
            <w:shd w:val="clear" w:color="auto" w:fill="auto"/>
            <w:tcMar>
              <w:top w:w="0" w:type="dxa"/>
              <w:bottom w:w="0" w:type="dxa"/>
            </w:tcMar>
            <w:vAlign w:val="center"/>
          </w:tcPr>
          <w:p w14:paraId="1F40CEFE" w14:textId="77777777" w:rsidR="00A30288" w:rsidRDefault="001173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Steel billet production</w:t>
            </w:r>
          </w:p>
        </w:tc>
        <w:tc>
          <w:tcPr>
            <w:tcW w:w="1881" w:type="dxa"/>
            <w:shd w:val="clear" w:color="auto" w:fill="auto"/>
            <w:tcMar>
              <w:top w:w="0" w:type="dxa"/>
              <w:bottom w:w="0" w:type="dxa"/>
            </w:tcMar>
            <w:vAlign w:val="center"/>
          </w:tcPr>
          <w:p w14:paraId="14519615"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Tons</w:t>
            </w:r>
          </w:p>
        </w:tc>
        <w:tc>
          <w:tcPr>
            <w:tcW w:w="1477" w:type="dxa"/>
            <w:shd w:val="clear" w:color="auto" w:fill="auto"/>
            <w:tcMar>
              <w:top w:w="0" w:type="dxa"/>
              <w:bottom w:w="0" w:type="dxa"/>
            </w:tcMar>
            <w:vAlign w:val="center"/>
          </w:tcPr>
          <w:p w14:paraId="18F752C3"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206,552</w:t>
            </w:r>
          </w:p>
        </w:tc>
        <w:tc>
          <w:tcPr>
            <w:tcW w:w="1331" w:type="dxa"/>
            <w:shd w:val="clear" w:color="auto" w:fill="auto"/>
            <w:tcMar>
              <w:top w:w="0" w:type="dxa"/>
              <w:bottom w:w="0" w:type="dxa"/>
            </w:tcMar>
            <w:vAlign w:val="center"/>
          </w:tcPr>
          <w:p w14:paraId="632EBFFB"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205,000</w:t>
            </w:r>
          </w:p>
        </w:tc>
        <w:tc>
          <w:tcPr>
            <w:tcW w:w="1183" w:type="dxa"/>
            <w:shd w:val="clear" w:color="auto" w:fill="auto"/>
            <w:tcMar>
              <w:top w:w="0" w:type="dxa"/>
              <w:bottom w:w="0" w:type="dxa"/>
            </w:tcMar>
            <w:vAlign w:val="center"/>
          </w:tcPr>
          <w:p w14:paraId="1387E26B"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99</w:t>
            </w:r>
          </w:p>
        </w:tc>
      </w:tr>
      <w:tr w:rsidR="00A30288" w14:paraId="61B74F56" w14:textId="77777777" w:rsidTr="00F86BE5">
        <w:trPr>
          <w:jc w:val="center"/>
        </w:trPr>
        <w:tc>
          <w:tcPr>
            <w:tcW w:w="744" w:type="dxa"/>
            <w:shd w:val="clear" w:color="auto" w:fill="auto"/>
            <w:tcMar>
              <w:top w:w="0" w:type="dxa"/>
              <w:bottom w:w="0" w:type="dxa"/>
            </w:tcMar>
            <w:vAlign w:val="center"/>
          </w:tcPr>
          <w:p w14:paraId="7EBD7D56"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w:t>
            </w:r>
          </w:p>
        </w:tc>
        <w:tc>
          <w:tcPr>
            <w:tcW w:w="2401" w:type="dxa"/>
            <w:shd w:val="clear" w:color="auto" w:fill="auto"/>
            <w:tcMar>
              <w:top w:w="0" w:type="dxa"/>
              <w:bottom w:w="0" w:type="dxa"/>
            </w:tcMar>
            <w:vAlign w:val="center"/>
          </w:tcPr>
          <w:p w14:paraId="467E446D" w14:textId="77777777" w:rsidR="00A30288" w:rsidRDefault="001173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Steel billet consumption</w:t>
            </w:r>
          </w:p>
        </w:tc>
        <w:tc>
          <w:tcPr>
            <w:tcW w:w="1881" w:type="dxa"/>
            <w:shd w:val="clear" w:color="auto" w:fill="auto"/>
            <w:tcMar>
              <w:top w:w="0" w:type="dxa"/>
              <w:bottom w:w="0" w:type="dxa"/>
            </w:tcMar>
            <w:vAlign w:val="center"/>
          </w:tcPr>
          <w:p w14:paraId="7513F0EC"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Tons</w:t>
            </w:r>
          </w:p>
        </w:tc>
        <w:tc>
          <w:tcPr>
            <w:tcW w:w="1477" w:type="dxa"/>
            <w:shd w:val="clear" w:color="auto" w:fill="auto"/>
            <w:tcMar>
              <w:top w:w="0" w:type="dxa"/>
              <w:bottom w:w="0" w:type="dxa"/>
            </w:tcMar>
            <w:vAlign w:val="center"/>
          </w:tcPr>
          <w:p w14:paraId="190E7A15"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193,058</w:t>
            </w:r>
          </w:p>
        </w:tc>
        <w:tc>
          <w:tcPr>
            <w:tcW w:w="1331" w:type="dxa"/>
            <w:shd w:val="clear" w:color="auto" w:fill="auto"/>
            <w:tcMar>
              <w:top w:w="0" w:type="dxa"/>
              <w:bottom w:w="0" w:type="dxa"/>
            </w:tcMar>
            <w:vAlign w:val="center"/>
          </w:tcPr>
          <w:p w14:paraId="5B6E4447"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220,000</w:t>
            </w:r>
          </w:p>
        </w:tc>
        <w:tc>
          <w:tcPr>
            <w:tcW w:w="1183" w:type="dxa"/>
            <w:shd w:val="clear" w:color="auto" w:fill="auto"/>
            <w:tcMar>
              <w:top w:w="0" w:type="dxa"/>
              <w:bottom w:w="0" w:type="dxa"/>
            </w:tcMar>
            <w:vAlign w:val="center"/>
          </w:tcPr>
          <w:p w14:paraId="303E5107"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114</w:t>
            </w:r>
          </w:p>
        </w:tc>
      </w:tr>
      <w:tr w:rsidR="00A30288" w14:paraId="7E66C898" w14:textId="77777777" w:rsidTr="00F86BE5">
        <w:trPr>
          <w:jc w:val="center"/>
        </w:trPr>
        <w:tc>
          <w:tcPr>
            <w:tcW w:w="744" w:type="dxa"/>
            <w:shd w:val="clear" w:color="auto" w:fill="auto"/>
            <w:tcMar>
              <w:top w:w="0" w:type="dxa"/>
              <w:bottom w:w="0" w:type="dxa"/>
            </w:tcMar>
            <w:vAlign w:val="center"/>
          </w:tcPr>
          <w:p w14:paraId="506B6F42"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w:t>
            </w:r>
          </w:p>
        </w:tc>
        <w:tc>
          <w:tcPr>
            <w:tcW w:w="2401" w:type="dxa"/>
            <w:shd w:val="clear" w:color="auto" w:fill="auto"/>
            <w:tcMar>
              <w:top w:w="0" w:type="dxa"/>
              <w:bottom w:w="0" w:type="dxa"/>
            </w:tcMar>
            <w:vAlign w:val="center"/>
          </w:tcPr>
          <w:p w14:paraId="449808B9" w14:textId="77777777" w:rsidR="00A30288" w:rsidRDefault="001173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Construction investment </w:t>
            </w:r>
            <w:r>
              <w:rPr>
                <w:rFonts w:ascii="Arial" w:hAnsi="Arial"/>
                <w:color w:val="010000"/>
                <w:sz w:val="20"/>
              </w:rPr>
              <w:lastRenderedPageBreak/>
              <w:t>value</w:t>
            </w:r>
          </w:p>
        </w:tc>
        <w:tc>
          <w:tcPr>
            <w:tcW w:w="1881" w:type="dxa"/>
            <w:shd w:val="clear" w:color="auto" w:fill="auto"/>
            <w:tcMar>
              <w:top w:w="0" w:type="dxa"/>
              <w:bottom w:w="0" w:type="dxa"/>
            </w:tcMar>
            <w:vAlign w:val="center"/>
          </w:tcPr>
          <w:p w14:paraId="17938191"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Million VND</w:t>
            </w:r>
          </w:p>
        </w:tc>
        <w:tc>
          <w:tcPr>
            <w:tcW w:w="1477" w:type="dxa"/>
            <w:shd w:val="clear" w:color="auto" w:fill="auto"/>
            <w:tcMar>
              <w:top w:w="0" w:type="dxa"/>
              <w:bottom w:w="0" w:type="dxa"/>
            </w:tcMar>
            <w:vAlign w:val="center"/>
          </w:tcPr>
          <w:p w14:paraId="10DE61C8"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13,765</w:t>
            </w:r>
          </w:p>
        </w:tc>
        <w:tc>
          <w:tcPr>
            <w:tcW w:w="1331" w:type="dxa"/>
            <w:shd w:val="clear" w:color="auto" w:fill="auto"/>
            <w:tcMar>
              <w:top w:w="0" w:type="dxa"/>
              <w:bottom w:w="0" w:type="dxa"/>
            </w:tcMar>
            <w:vAlign w:val="center"/>
          </w:tcPr>
          <w:p w14:paraId="3E5A01C9"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8,273</w:t>
            </w:r>
          </w:p>
        </w:tc>
        <w:tc>
          <w:tcPr>
            <w:tcW w:w="1183" w:type="dxa"/>
            <w:shd w:val="clear" w:color="auto" w:fill="auto"/>
            <w:tcMar>
              <w:top w:w="0" w:type="dxa"/>
              <w:bottom w:w="0" w:type="dxa"/>
            </w:tcMar>
            <w:vAlign w:val="center"/>
          </w:tcPr>
          <w:p w14:paraId="1E03447A"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60</w:t>
            </w:r>
          </w:p>
        </w:tc>
      </w:tr>
      <w:tr w:rsidR="00A30288" w14:paraId="50476598" w14:textId="77777777" w:rsidTr="00F86BE5">
        <w:trPr>
          <w:jc w:val="center"/>
        </w:trPr>
        <w:tc>
          <w:tcPr>
            <w:tcW w:w="744" w:type="dxa"/>
            <w:shd w:val="clear" w:color="auto" w:fill="auto"/>
            <w:tcMar>
              <w:top w:w="0" w:type="dxa"/>
              <w:bottom w:w="0" w:type="dxa"/>
            </w:tcMar>
            <w:vAlign w:val="center"/>
          </w:tcPr>
          <w:p w14:paraId="482A6BF9"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9</w:t>
            </w:r>
          </w:p>
        </w:tc>
        <w:tc>
          <w:tcPr>
            <w:tcW w:w="2401" w:type="dxa"/>
            <w:shd w:val="clear" w:color="auto" w:fill="auto"/>
            <w:tcMar>
              <w:top w:w="0" w:type="dxa"/>
              <w:bottom w:w="0" w:type="dxa"/>
            </w:tcMar>
            <w:vAlign w:val="center"/>
          </w:tcPr>
          <w:p w14:paraId="1E7D19EF" w14:textId="77777777" w:rsidR="00A30288" w:rsidRDefault="001173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Exploit the North Na </w:t>
            </w:r>
            <w:proofErr w:type="spellStart"/>
            <w:r>
              <w:rPr>
                <w:rFonts w:ascii="Arial" w:hAnsi="Arial"/>
                <w:color w:val="010000"/>
                <w:sz w:val="20"/>
              </w:rPr>
              <w:t>Rua</w:t>
            </w:r>
            <w:proofErr w:type="spellEnd"/>
            <w:r>
              <w:rPr>
                <w:rFonts w:ascii="Arial" w:hAnsi="Arial"/>
                <w:color w:val="010000"/>
                <w:sz w:val="20"/>
              </w:rPr>
              <w:t xml:space="preserve"> iron mine </w:t>
            </w:r>
          </w:p>
        </w:tc>
        <w:tc>
          <w:tcPr>
            <w:tcW w:w="1881" w:type="dxa"/>
            <w:shd w:val="clear" w:color="auto" w:fill="auto"/>
            <w:tcMar>
              <w:top w:w="0" w:type="dxa"/>
              <w:bottom w:w="0" w:type="dxa"/>
            </w:tcMar>
            <w:vAlign w:val="center"/>
          </w:tcPr>
          <w:p w14:paraId="40589D92"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1477" w:type="dxa"/>
            <w:shd w:val="clear" w:color="auto" w:fill="auto"/>
            <w:tcMar>
              <w:top w:w="0" w:type="dxa"/>
              <w:bottom w:w="0" w:type="dxa"/>
            </w:tcMar>
            <w:vAlign w:val="center"/>
          </w:tcPr>
          <w:p w14:paraId="22A1C946" w14:textId="77777777" w:rsidR="00A30288" w:rsidRDefault="00A30288">
            <w:pPr>
              <w:tabs>
                <w:tab w:val="left" w:pos="432"/>
              </w:tabs>
              <w:spacing w:after="120" w:line="360" w:lineRule="auto"/>
              <w:rPr>
                <w:rFonts w:ascii="Arial" w:eastAsia="Arial" w:hAnsi="Arial" w:cs="Arial"/>
                <w:color w:val="010000"/>
                <w:sz w:val="20"/>
                <w:szCs w:val="20"/>
              </w:rPr>
            </w:pPr>
          </w:p>
        </w:tc>
        <w:tc>
          <w:tcPr>
            <w:tcW w:w="1331" w:type="dxa"/>
            <w:shd w:val="clear" w:color="auto" w:fill="auto"/>
            <w:tcMar>
              <w:top w:w="0" w:type="dxa"/>
              <w:bottom w:w="0" w:type="dxa"/>
            </w:tcMar>
            <w:vAlign w:val="center"/>
          </w:tcPr>
          <w:p w14:paraId="33B3571A"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207,927</w:t>
            </w:r>
          </w:p>
        </w:tc>
        <w:tc>
          <w:tcPr>
            <w:tcW w:w="1183" w:type="dxa"/>
            <w:shd w:val="clear" w:color="auto" w:fill="auto"/>
            <w:tcMar>
              <w:top w:w="0" w:type="dxa"/>
              <w:bottom w:w="0" w:type="dxa"/>
            </w:tcMar>
            <w:vAlign w:val="center"/>
          </w:tcPr>
          <w:p w14:paraId="02213DAA" w14:textId="77777777" w:rsidR="00A30288" w:rsidRDefault="00A30288">
            <w:pPr>
              <w:tabs>
                <w:tab w:val="left" w:pos="432"/>
              </w:tabs>
              <w:spacing w:after="120" w:line="360" w:lineRule="auto"/>
              <w:rPr>
                <w:rFonts w:ascii="Arial" w:eastAsia="Arial" w:hAnsi="Arial" w:cs="Arial"/>
                <w:color w:val="010000"/>
                <w:sz w:val="20"/>
                <w:szCs w:val="20"/>
              </w:rPr>
            </w:pPr>
          </w:p>
        </w:tc>
      </w:tr>
    </w:tbl>
    <w:p w14:paraId="5E1152F5" w14:textId="040C2F83" w:rsidR="00A30288" w:rsidRDefault="0011739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The General Meeting of Shareholders authorizes the Board of Directors of the Company, in the process of implementing the plan, based on the actual situation and market price fluctuations, to proactively adjust the plan appropriately </w:t>
      </w:r>
      <w:r w:rsidR="00F86BE5">
        <w:rPr>
          <w:rFonts w:ascii="Arial" w:hAnsi="Arial"/>
          <w:color w:val="010000"/>
          <w:sz w:val="20"/>
        </w:rPr>
        <w:t>to</w:t>
      </w:r>
      <w:r>
        <w:rPr>
          <w:rFonts w:ascii="Arial" w:hAnsi="Arial"/>
          <w:color w:val="010000"/>
          <w:sz w:val="20"/>
        </w:rPr>
        <w:t xml:space="preserve"> ensure the profit target, maintain stable production, and preserve and develop capital.</w:t>
      </w:r>
    </w:p>
    <w:p w14:paraId="59A87092" w14:textId="77777777" w:rsidR="00A30288" w:rsidRDefault="0011739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 Approve the Report on the activities of the Board of Directors in 2023 and the orientation and plan of activities in 2024.</w:t>
      </w:r>
    </w:p>
    <w:p w14:paraId="2DF37CA3" w14:textId="77777777" w:rsidR="00A30288" w:rsidRDefault="0011739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3. Approve the Report on activities of the Supervisory Board in 2023 and the Operational plan for 2024.</w:t>
      </w:r>
    </w:p>
    <w:p w14:paraId="71014CC2" w14:textId="77777777" w:rsidR="00A30288" w:rsidRDefault="0011739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4. Approve the selection of the audit company for the Financial Statements 2024.</w:t>
      </w:r>
    </w:p>
    <w:p w14:paraId="59EA9C9F" w14:textId="77777777" w:rsidR="00A30288" w:rsidRDefault="0011739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authorizes the Supervisory Board to coordinate with the Company to select one of the following audit companies to audit the Company's Financial Statements 2024:</w:t>
      </w:r>
    </w:p>
    <w:p w14:paraId="18875A34" w14:textId="77777777" w:rsidR="00A30288" w:rsidRDefault="0011739D">
      <w:pPr>
        <w:numPr>
          <w:ilvl w:val="0"/>
          <w:numId w:val="3"/>
        </w:numPr>
        <w:pBdr>
          <w:top w:val="nil"/>
          <w:left w:val="nil"/>
          <w:bottom w:val="nil"/>
          <w:right w:val="nil"/>
          <w:between w:val="nil"/>
        </w:pBdr>
        <w:tabs>
          <w:tab w:val="left" w:pos="432"/>
          <w:tab w:val="left" w:pos="992"/>
        </w:tabs>
        <w:spacing w:after="120" w:line="360" w:lineRule="auto"/>
        <w:jc w:val="both"/>
        <w:rPr>
          <w:rFonts w:ascii="Arial" w:eastAsia="Arial" w:hAnsi="Arial" w:cs="Arial"/>
          <w:color w:val="010000"/>
          <w:sz w:val="20"/>
          <w:szCs w:val="20"/>
        </w:rPr>
      </w:pPr>
      <w:r>
        <w:rPr>
          <w:rFonts w:ascii="Arial" w:hAnsi="Arial"/>
          <w:color w:val="010000"/>
          <w:sz w:val="20"/>
        </w:rPr>
        <w:t>Ernst &amp; Young Vietnam Limited</w:t>
      </w:r>
    </w:p>
    <w:p w14:paraId="1B9C3996" w14:textId="77777777" w:rsidR="00A30288" w:rsidRDefault="0011739D">
      <w:pPr>
        <w:numPr>
          <w:ilvl w:val="0"/>
          <w:numId w:val="3"/>
        </w:numPr>
        <w:pBdr>
          <w:top w:val="nil"/>
          <w:left w:val="nil"/>
          <w:bottom w:val="nil"/>
          <w:right w:val="nil"/>
          <w:between w:val="nil"/>
        </w:pBdr>
        <w:tabs>
          <w:tab w:val="left" w:pos="432"/>
          <w:tab w:val="left" w:pos="972"/>
        </w:tabs>
        <w:spacing w:after="120" w:line="360" w:lineRule="auto"/>
        <w:jc w:val="both"/>
        <w:rPr>
          <w:rFonts w:ascii="Arial" w:eastAsia="Arial" w:hAnsi="Arial" w:cs="Arial"/>
          <w:color w:val="010000"/>
          <w:sz w:val="20"/>
          <w:szCs w:val="20"/>
        </w:rPr>
      </w:pPr>
      <w:r>
        <w:rPr>
          <w:rFonts w:ascii="Arial" w:hAnsi="Arial"/>
          <w:color w:val="010000"/>
          <w:sz w:val="20"/>
        </w:rPr>
        <w:t>AASC Auditing Firm Company Limited;</w:t>
      </w:r>
    </w:p>
    <w:p w14:paraId="5359E7EA" w14:textId="77777777" w:rsidR="00A30288" w:rsidRDefault="0011739D">
      <w:pPr>
        <w:numPr>
          <w:ilvl w:val="0"/>
          <w:numId w:val="3"/>
        </w:numPr>
        <w:pBdr>
          <w:top w:val="nil"/>
          <w:left w:val="nil"/>
          <w:bottom w:val="nil"/>
          <w:right w:val="nil"/>
          <w:between w:val="nil"/>
        </w:pBdr>
        <w:tabs>
          <w:tab w:val="left" w:pos="432"/>
          <w:tab w:val="left" w:pos="972"/>
        </w:tabs>
        <w:spacing w:after="120" w:line="360" w:lineRule="auto"/>
        <w:jc w:val="both"/>
        <w:rPr>
          <w:rFonts w:ascii="Arial" w:eastAsia="Arial" w:hAnsi="Arial" w:cs="Arial"/>
          <w:color w:val="010000"/>
          <w:sz w:val="20"/>
          <w:szCs w:val="20"/>
        </w:rPr>
      </w:pPr>
      <w:r>
        <w:rPr>
          <w:rFonts w:ascii="Arial" w:hAnsi="Arial"/>
          <w:color w:val="010000"/>
          <w:sz w:val="20"/>
        </w:rPr>
        <w:t>A&amp;C Auditing and Consulting Company Limited;</w:t>
      </w:r>
    </w:p>
    <w:p w14:paraId="3B22CD3B" w14:textId="77777777" w:rsidR="00A30288" w:rsidRDefault="0011739D">
      <w:pPr>
        <w:numPr>
          <w:ilvl w:val="0"/>
          <w:numId w:val="3"/>
        </w:numPr>
        <w:pBdr>
          <w:top w:val="nil"/>
          <w:left w:val="nil"/>
          <w:bottom w:val="nil"/>
          <w:right w:val="nil"/>
          <w:between w:val="nil"/>
        </w:pBdr>
        <w:tabs>
          <w:tab w:val="left" w:pos="432"/>
          <w:tab w:val="left" w:pos="972"/>
        </w:tabs>
        <w:spacing w:after="120" w:line="360" w:lineRule="auto"/>
        <w:jc w:val="both"/>
        <w:rPr>
          <w:rFonts w:ascii="Arial" w:eastAsia="Arial" w:hAnsi="Arial" w:cs="Arial"/>
          <w:color w:val="010000"/>
          <w:sz w:val="20"/>
          <w:szCs w:val="20"/>
        </w:rPr>
      </w:pPr>
      <w:r>
        <w:rPr>
          <w:rFonts w:ascii="Arial" w:hAnsi="Arial"/>
          <w:color w:val="010000"/>
          <w:sz w:val="20"/>
        </w:rPr>
        <w:t>CPA Vietnam Auditing Company Limited;</w:t>
      </w:r>
    </w:p>
    <w:p w14:paraId="41282660" w14:textId="77777777" w:rsidR="00A30288" w:rsidRDefault="0011739D">
      <w:pPr>
        <w:numPr>
          <w:ilvl w:val="0"/>
          <w:numId w:val="3"/>
        </w:numPr>
        <w:pBdr>
          <w:top w:val="nil"/>
          <w:left w:val="nil"/>
          <w:bottom w:val="nil"/>
          <w:right w:val="nil"/>
          <w:between w:val="nil"/>
        </w:pBdr>
        <w:tabs>
          <w:tab w:val="left" w:pos="432"/>
          <w:tab w:val="left" w:pos="976"/>
        </w:tabs>
        <w:spacing w:after="120" w:line="360" w:lineRule="auto"/>
        <w:jc w:val="both"/>
        <w:rPr>
          <w:rFonts w:ascii="Arial" w:eastAsia="Arial" w:hAnsi="Arial" w:cs="Arial"/>
          <w:color w:val="010000"/>
          <w:sz w:val="20"/>
          <w:szCs w:val="20"/>
        </w:rPr>
      </w:pPr>
      <w:r>
        <w:rPr>
          <w:rFonts w:ascii="Arial" w:hAnsi="Arial"/>
          <w:color w:val="010000"/>
          <w:sz w:val="20"/>
        </w:rPr>
        <w:t>BDO Auditing Company Limited.</w:t>
      </w:r>
    </w:p>
    <w:p w14:paraId="3C5517D4" w14:textId="77777777" w:rsidR="00A30288" w:rsidRDefault="001173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5. Approve the Audited Financial Statements 2023.</w:t>
      </w:r>
    </w:p>
    <w:p w14:paraId="277FE986" w14:textId="77777777" w:rsidR="00A30288" w:rsidRDefault="0011739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6. Approve the plan for profit distribution in 2023 and the plan for profit distribution in 2024. (Attached is the profit distribution table)</w:t>
      </w:r>
    </w:p>
    <w:p w14:paraId="712E746C" w14:textId="77777777" w:rsidR="00A30288" w:rsidRDefault="0011739D">
      <w:pPr>
        <w:numPr>
          <w:ilvl w:val="0"/>
          <w:numId w:val="3"/>
        </w:numPr>
        <w:pBdr>
          <w:top w:val="nil"/>
          <w:left w:val="nil"/>
          <w:bottom w:val="nil"/>
          <w:right w:val="nil"/>
          <w:between w:val="nil"/>
        </w:pBdr>
        <w:tabs>
          <w:tab w:val="left" w:pos="432"/>
          <w:tab w:val="left" w:pos="996"/>
        </w:tabs>
        <w:spacing w:after="120" w:line="360" w:lineRule="auto"/>
        <w:jc w:val="both"/>
        <w:rPr>
          <w:rFonts w:ascii="Arial" w:eastAsia="Arial" w:hAnsi="Arial" w:cs="Arial"/>
          <w:color w:val="010000"/>
          <w:sz w:val="20"/>
          <w:szCs w:val="20"/>
        </w:rPr>
      </w:pPr>
      <w:r>
        <w:rPr>
          <w:rFonts w:ascii="Arial" w:hAnsi="Arial"/>
          <w:color w:val="010000"/>
          <w:sz w:val="20"/>
        </w:rPr>
        <w:t>Profit after tax in 2023: VND 1.388 billion;</w:t>
      </w:r>
    </w:p>
    <w:p w14:paraId="1E353CA9" w14:textId="77777777" w:rsidR="00A30288" w:rsidRDefault="0011739D">
      <w:pPr>
        <w:numPr>
          <w:ilvl w:val="0"/>
          <w:numId w:val="3"/>
        </w:numPr>
        <w:pBdr>
          <w:top w:val="nil"/>
          <w:left w:val="nil"/>
          <w:bottom w:val="nil"/>
          <w:right w:val="nil"/>
          <w:between w:val="nil"/>
        </w:pBdr>
        <w:tabs>
          <w:tab w:val="left" w:pos="432"/>
          <w:tab w:val="left" w:pos="996"/>
        </w:tabs>
        <w:spacing w:after="120" w:line="360" w:lineRule="auto"/>
        <w:jc w:val="both"/>
        <w:rPr>
          <w:rFonts w:ascii="Arial" w:eastAsia="Arial" w:hAnsi="Arial" w:cs="Arial"/>
          <w:color w:val="010000"/>
          <w:sz w:val="20"/>
          <w:szCs w:val="20"/>
        </w:rPr>
      </w:pPr>
      <w:r>
        <w:rPr>
          <w:rFonts w:ascii="Arial" w:hAnsi="Arial"/>
          <w:color w:val="010000"/>
          <w:sz w:val="20"/>
        </w:rPr>
        <w:t>Undistributed profit after tax until December 31, 2023: VND 8.597 billion;</w:t>
      </w:r>
    </w:p>
    <w:p w14:paraId="7B64E8BF" w14:textId="77777777" w:rsidR="00A30288" w:rsidRDefault="0011739D">
      <w:pPr>
        <w:numPr>
          <w:ilvl w:val="0"/>
          <w:numId w:val="3"/>
        </w:numPr>
        <w:pBdr>
          <w:top w:val="nil"/>
          <w:left w:val="nil"/>
          <w:bottom w:val="nil"/>
          <w:right w:val="nil"/>
          <w:between w:val="nil"/>
        </w:pBdr>
        <w:tabs>
          <w:tab w:val="left" w:pos="432"/>
          <w:tab w:val="left" w:pos="996"/>
        </w:tabs>
        <w:spacing w:after="120" w:line="360" w:lineRule="auto"/>
        <w:jc w:val="both"/>
        <w:rPr>
          <w:rFonts w:ascii="Arial" w:eastAsia="Arial" w:hAnsi="Arial" w:cs="Arial"/>
          <w:color w:val="010000"/>
          <w:sz w:val="20"/>
          <w:szCs w:val="20"/>
        </w:rPr>
      </w:pPr>
      <w:r>
        <w:rPr>
          <w:rFonts w:ascii="Arial" w:hAnsi="Arial"/>
          <w:color w:val="010000"/>
          <w:sz w:val="20"/>
        </w:rPr>
        <w:t>Profit distributed this period: VND 1.388 billion;</w:t>
      </w:r>
    </w:p>
    <w:p w14:paraId="6941E0EB" w14:textId="668C1DEA" w:rsidR="00A30288" w:rsidRDefault="00F86B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w:t>
      </w:r>
      <w:r w:rsidR="0011739D">
        <w:rPr>
          <w:rFonts w:ascii="Arial" w:hAnsi="Arial"/>
          <w:color w:val="010000"/>
          <w:sz w:val="20"/>
        </w:rPr>
        <w:t>Appropriation for bonus fund: VND 0.388 billion;</w:t>
      </w:r>
    </w:p>
    <w:p w14:paraId="1F5E8931" w14:textId="11511A62" w:rsidR="00A30288" w:rsidRDefault="001173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w:t>
      </w:r>
      <w:r w:rsidR="00F86BE5">
        <w:rPr>
          <w:rFonts w:ascii="Arial" w:hAnsi="Arial"/>
          <w:color w:val="010000"/>
          <w:sz w:val="20"/>
        </w:rPr>
        <w:t xml:space="preserve">    </w:t>
      </w:r>
      <w:r>
        <w:rPr>
          <w:rFonts w:ascii="Arial" w:hAnsi="Arial"/>
          <w:color w:val="010000"/>
          <w:sz w:val="20"/>
        </w:rPr>
        <w:t>Appropriation for welfare fund VND 1.0 billion;</w:t>
      </w:r>
    </w:p>
    <w:p w14:paraId="08C1CCE9" w14:textId="77777777" w:rsidR="00A30288" w:rsidRDefault="0011739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According to the submitted plan, the Company's estimated profit after tax in 2024 is VND 5.012 billion. In 2024, the Company will not pay dividends, only partially deduct the profit after tax for funds, the remaining profit will be used entirely to maintain production and business activities of the North Na </w:t>
      </w:r>
      <w:proofErr w:type="spellStart"/>
      <w:r>
        <w:rPr>
          <w:rFonts w:ascii="Arial" w:hAnsi="Arial"/>
          <w:color w:val="010000"/>
          <w:sz w:val="20"/>
        </w:rPr>
        <w:t>Rua</w:t>
      </w:r>
      <w:proofErr w:type="spellEnd"/>
      <w:r>
        <w:rPr>
          <w:rFonts w:ascii="Arial" w:hAnsi="Arial"/>
          <w:color w:val="010000"/>
          <w:sz w:val="20"/>
        </w:rPr>
        <w:t xml:space="preserve"> iron mine.</w:t>
      </w:r>
    </w:p>
    <w:p w14:paraId="0DDEAB4A" w14:textId="77777777" w:rsidR="00A30288" w:rsidRDefault="0011739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7. Approve the implementation of remuneration payment for the Board of Directors and </w:t>
      </w:r>
      <w:r>
        <w:rPr>
          <w:rFonts w:ascii="Arial" w:hAnsi="Arial"/>
          <w:color w:val="010000"/>
          <w:sz w:val="20"/>
        </w:rPr>
        <w:lastRenderedPageBreak/>
        <w:t>Supervisory Board of the Company in 2023 and the plan for 2024.</w:t>
      </w:r>
    </w:p>
    <w:p w14:paraId="325DE28B" w14:textId="77777777" w:rsidR="00A30288" w:rsidRDefault="0011739D">
      <w:pPr>
        <w:numPr>
          <w:ilvl w:val="1"/>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Implementation of remuneration payment for the Board of Directors and Supervisory Board in 2023:</w:t>
      </w:r>
    </w:p>
    <w:p w14:paraId="56C8ABDC" w14:textId="62803E5A" w:rsidR="00A30288" w:rsidRDefault="0011739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The remuneration of the Chair of the Board of Directors, members of the Board of Directors, Chief of the Supervisory Board, </w:t>
      </w:r>
      <w:r w:rsidR="00F86BE5">
        <w:rPr>
          <w:rFonts w:ascii="Arial" w:hAnsi="Arial"/>
          <w:color w:val="010000"/>
          <w:sz w:val="20"/>
        </w:rPr>
        <w:t xml:space="preserve">and </w:t>
      </w:r>
      <w:r>
        <w:rPr>
          <w:rFonts w:ascii="Arial" w:hAnsi="Arial"/>
          <w:color w:val="010000"/>
          <w:sz w:val="20"/>
        </w:rPr>
        <w:t xml:space="preserve">non-executive members of the Supervisory </w:t>
      </w:r>
      <w:proofErr w:type="gramStart"/>
      <w:r>
        <w:rPr>
          <w:rFonts w:ascii="Arial" w:hAnsi="Arial"/>
          <w:color w:val="010000"/>
          <w:sz w:val="20"/>
        </w:rPr>
        <w:t>Board  is</w:t>
      </w:r>
      <w:proofErr w:type="gramEnd"/>
      <w:r>
        <w:rPr>
          <w:rFonts w:ascii="Arial" w:hAnsi="Arial"/>
          <w:color w:val="010000"/>
          <w:sz w:val="20"/>
        </w:rPr>
        <w:t xml:space="preserve"> paid at 20% of the actual salary level of the executive managers of the Company:</w:t>
      </w:r>
    </w:p>
    <w:tbl>
      <w:tblPr>
        <w:tblStyle w:val="a1"/>
        <w:tblW w:w="9265" w:type="dxa"/>
        <w:jc w:val="center"/>
        <w:tblLayout w:type="fixed"/>
        <w:tblLook w:val="0400" w:firstRow="0" w:lastRow="0" w:firstColumn="0" w:lastColumn="0" w:noHBand="0" w:noVBand="1"/>
      </w:tblPr>
      <w:tblGrid>
        <w:gridCol w:w="558"/>
        <w:gridCol w:w="2103"/>
        <w:gridCol w:w="1647"/>
        <w:gridCol w:w="747"/>
        <w:gridCol w:w="934"/>
        <w:gridCol w:w="1926"/>
        <w:gridCol w:w="1350"/>
      </w:tblGrid>
      <w:tr w:rsidR="00A30288" w14:paraId="19C07A3F" w14:textId="77777777" w:rsidTr="00F86BE5">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B760E0E" w14:textId="77777777" w:rsidR="00A30288" w:rsidRDefault="0011739D" w:rsidP="00F86B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0627F2" w14:textId="77777777" w:rsidR="00A30288" w:rsidRDefault="0011739D" w:rsidP="00F86B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37484E" w14:textId="77777777" w:rsidR="00A30288" w:rsidRDefault="0011739D" w:rsidP="00F86B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Salary level for determining remuneration (VND/person/month)</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1DDA690" w14:textId="77777777" w:rsidR="00A30288" w:rsidRDefault="0011739D" w:rsidP="00F86B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Rate</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4BAE11" w14:textId="77777777" w:rsidR="00A30288" w:rsidRDefault="0011739D" w:rsidP="00F86B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Number of people</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5618E27" w14:textId="77777777" w:rsidR="00A30288" w:rsidRDefault="0011739D" w:rsidP="00F86B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Remuneration (VND/person/month)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974F0C" w14:textId="77777777" w:rsidR="00A30288" w:rsidRDefault="0011739D" w:rsidP="00F86B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Remuneration (VND/year)</w:t>
            </w:r>
          </w:p>
        </w:tc>
      </w:tr>
      <w:tr w:rsidR="00A30288" w14:paraId="014F2C63" w14:textId="77777777" w:rsidTr="00F86BE5">
        <w:trPr>
          <w:jc w:val="center"/>
        </w:trPr>
        <w:tc>
          <w:tcPr>
            <w:tcW w:w="558" w:type="dxa"/>
            <w:tcBorders>
              <w:top w:val="single" w:sz="4" w:space="0" w:color="000000"/>
              <w:left w:val="single" w:sz="4" w:space="0" w:color="000000"/>
            </w:tcBorders>
            <w:shd w:val="clear" w:color="auto" w:fill="auto"/>
            <w:tcMar>
              <w:top w:w="0" w:type="dxa"/>
              <w:bottom w:w="0" w:type="dxa"/>
            </w:tcMar>
            <w:vAlign w:val="center"/>
          </w:tcPr>
          <w:p w14:paraId="081E722C" w14:textId="77777777" w:rsidR="00A30288" w:rsidRDefault="0011739D" w:rsidP="00F86B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10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0EA6B4" w14:textId="77777777" w:rsidR="00A30288" w:rsidRDefault="001173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64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41DFB04"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36,000,000</w:t>
            </w:r>
          </w:p>
        </w:tc>
        <w:tc>
          <w:tcPr>
            <w:tcW w:w="74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D33A80F"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20%</w:t>
            </w:r>
          </w:p>
        </w:tc>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1C33EF6"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01</w:t>
            </w:r>
          </w:p>
        </w:tc>
        <w:tc>
          <w:tcPr>
            <w:tcW w:w="192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A53326A"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7,200,000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C1FE8C"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86,400,000</w:t>
            </w:r>
          </w:p>
        </w:tc>
      </w:tr>
      <w:tr w:rsidR="00A30288" w14:paraId="2F4E6BF9" w14:textId="77777777" w:rsidTr="00F86BE5">
        <w:trPr>
          <w:jc w:val="center"/>
        </w:trPr>
        <w:tc>
          <w:tcPr>
            <w:tcW w:w="55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566782D" w14:textId="77777777" w:rsidR="00A30288" w:rsidRDefault="0011739D" w:rsidP="00F86B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10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1D489D" w14:textId="77777777" w:rsidR="00A30288" w:rsidRDefault="001173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64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977946A"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30,000,000</w:t>
            </w:r>
          </w:p>
        </w:tc>
        <w:tc>
          <w:tcPr>
            <w:tcW w:w="74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B857722"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20%</w:t>
            </w:r>
          </w:p>
        </w:tc>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3817E9"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04</w:t>
            </w:r>
          </w:p>
        </w:tc>
        <w:tc>
          <w:tcPr>
            <w:tcW w:w="192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4FA2735"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6,000,000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BBEBC67"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288,000,000</w:t>
            </w:r>
          </w:p>
        </w:tc>
      </w:tr>
      <w:tr w:rsidR="00A30288" w14:paraId="7F323E23" w14:textId="77777777" w:rsidTr="00F86BE5">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E90FDE8" w14:textId="77777777" w:rsidR="00A30288" w:rsidRDefault="0011739D" w:rsidP="00F86B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10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698DF0" w14:textId="77777777" w:rsidR="00A30288" w:rsidRDefault="001173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64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B771651"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30,000,000</w:t>
            </w:r>
          </w:p>
        </w:tc>
        <w:tc>
          <w:tcPr>
            <w:tcW w:w="74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29FEB02"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20%</w:t>
            </w:r>
          </w:p>
        </w:tc>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C076D71"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01</w:t>
            </w:r>
          </w:p>
        </w:tc>
        <w:tc>
          <w:tcPr>
            <w:tcW w:w="192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FE46FD"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6,000,000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CF647EE"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72,000,000</w:t>
            </w:r>
          </w:p>
        </w:tc>
      </w:tr>
      <w:tr w:rsidR="00A30288" w14:paraId="50E4A03B" w14:textId="77777777" w:rsidTr="00F86BE5">
        <w:trPr>
          <w:jc w:val="center"/>
        </w:trPr>
        <w:tc>
          <w:tcPr>
            <w:tcW w:w="55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586CC43" w14:textId="77777777" w:rsidR="00A30288" w:rsidRDefault="0011739D" w:rsidP="00F86BE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210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F56F071" w14:textId="77777777" w:rsidR="00A30288" w:rsidRDefault="001173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64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553118B"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28,000,000</w:t>
            </w:r>
          </w:p>
        </w:tc>
        <w:tc>
          <w:tcPr>
            <w:tcW w:w="74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ED4C9F3"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20%</w:t>
            </w:r>
          </w:p>
        </w:tc>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5461EB"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02</w:t>
            </w:r>
          </w:p>
        </w:tc>
        <w:tc>
          <w:tcPr>
            <w:tcW w:w="192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3D4AE9"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5,600,000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E6FC4FA"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134,400,000</w:t>
            </w:r>
          </w:p>
        </w:tc>
      </w:tr>
      <w:tr w:rsidR="00A30288" w14:paraId="14D8530D" w14:textId="77777777" w:rsidTr="00F86BE5">
        <w:trPr>
          <w:jc w:val="center"/>
        </w:trPr>
        <w:tc>
          <w:tcPr>
            <w:tcW w:w="55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E3E98C" w14:textId="77777777" w:rsidR="00A30288" w:rsidRDefault="00A30288" w:rsidP="00F86BE5">
            <w:pPr>
              <w:tabs>
                <w:tab w:val="left" w:pos="432"/>
              </w:tabs>
              <w:spacing w:after="120" w:line="360" w:lineRule="auto"/>
              <w:jc w:val="center"/>
              <w:rPr>
                <w:rFonts w:ascii="Arial" w:eastAsia="Arial" w:hAnsi="Arial" w:cs="Arial"/>
                <w:color w:val="010000"/>
                <w:sz w:val="20"/>
                <w:szCs w:val="20"/>
              </w:rPr>
            </w:pPr>
          </w:p>
        </w:tc>
        <w:tc>
          <w:tcPr>
            <w:tcW w:w="210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B839233"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Total</w:t>
            </w:r>
          </w:p>
        </w:tc>
        <w:tc>
          <w:tcPr>
            <w:tcW w:w="164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8C8F8F" w14:textId="77777777" w:rsidR="00A30288" w:rsidRDefault="00A30288">
            <w:pPr>
              <w:tabs>
                <w:tab w:val="left" w:pos="432"/>
              </w:tabs>
              <w:spacing w:after="120" w:line="360" w:lineRule="auto"/>
              <w:jc w:val="center"/>
              <w:rPr>
                <w:rFonts w:ascii="Arial" w:eastAsia="Arial" w:hAnsi="Arial" w:cs="Arial"/>
                <w:color w:val="010000"/>
                <w:sz w:val="20"/>
                <w:szCs w:val="20"/>
              </w:rPr>
            </w:pPr>
          </w:p>
        </w:tc>
        <w:tc>
          <w:tcPr>
            <w:tcW w:w="74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86C4367" w14:textId="77777777" w:rsidR="00A30288" w:rsidRDefault="00A30288">
            <w:pPr>
              <w:tabs>
                <w:tab w:val="left" w:pos="432"/>
              </w:tabs>
              <w:spacing w:after="120" w:line="360" w:lineRule="auto"/>
              <w:jc w:val="center"/>
              <w:rPr>
                <w:rFonts w:ascii="Arial" w:eastAsia="Arial" w:hAnsi="Arial" w:cs="Arial"/>
                <w:color w:val="010000"/>
                <w:sz w:val="20"/>
                <w:szCs w:val="20"/>
              </w:rPr>
            </w:pPr>
          </w:p>
        </w:tc>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C62BA2F"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08</w:t>
            </w:r>
          </w:p>
        </w:tc>
        <w:tc>
          <w:tcPr>
            <w:tcW w:w="192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28D68E8" w14:textId="77777777" w:rsidR="00A30288" w:rsidRDefault="00A30288">
            <w:pPr>
              <w:tabs>
                <w:tab w:val="left" w:pos="432"/>
              </w:tabs>
              <w:spacing w:after="120" w:line="360" w:lineRule="auto"/>
              <w:jc w:val="center"/>
              <w:rPr>
                <w:rFonts w:ascii="Arial" w:eastAsia="Arial" w:hAnsi="Arial" w:cs="Arial"/>
                <w:color w:val="010000"/>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5FE38DD"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580,800,000</w:t>
            </w:r>
          </w:p>
        </w:tc>
      </w:tr>
    </w:tbl>
    <w:p w14:paraId="49F6C841" w14:textId="58E303C9" w:rsidR="00A30288" w:rsidRDefault="001173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6.2. Plan for remuneration payment of the Board of D</w:t>
      </w:r>
      <w:r w:rsidR="00F86BE5">
        <w:rPr>
          <w:rFonts w:ascii="Arial" w:hAnsi="Arial"/>
          <w:color w:val="010000"/>
          <w:sz w:val="20"/>
        </w:rPr>
        <w:t xml:space="preserve">irectors and Supervisory Board </w:t>
      </w:r>
      <w:r>
        <w:rPr>
          <w:rFonts w:ascii="Arial" w:hAnsi="Arial"/>
          <w:color w:val="010000"/>
          <w:sz w:val="20"/>
        </w:rPr>
        <w:t>in 2024:</w:t>
      </w:r>
    </w:p>
    <w:p w14:paraId="1B6D37BD" w14:textId="5FD178C5" w:rsidR="00A30288" w:rsidRDefault="0011739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The remuneration of the Chair of the Board of Directors, members of the Board of Directors, Chief of the Supervisory Board, </w:t>
      </w:r>
      <w:r w:rsidR="00F86BE5">
        <w:rPr>
          <w:rFonts w:ascii="Arial" w:hAnsi="Arial"/>
          <w:color w:val="010000"/>
          <w:sz w:val="20"/>
        </w:rPr>
        <w:t xml:space="preserve">and </w:t>
      </w:r>
      <w:r>
        <w:rPr>
          <w:rFonts w:ascii="Arial" w:hAnsi="Arial"/>
          <w:color w:val="010000"/>
          <w:sz w:val="20"/>
        </w:rPr>
        <w:t>non-executive me</w:t>
      </w:r>
      <w:r w:rsidR="00F86BE5">
        <w:rPr>
          <w:rFonts w:ascii="Arial" w:hAnsi="Arial"/>
          <w:color w:val="010000"/>
          <w:sz w:val="20"/>
        </w:rPr>
        <w:t xml:space="preserve">mbers of the Supervisory Board </w:t>
      </w:r>
      <w:r>
        <w:rPr>
          <w:rFonts w:ascii="Arial" w:hAnsi="Arial"/>
          <w:color w:val="010000"/>
          <w:sz w:val="20"/>
        </w:rPr>
        <w:t>is paid at 20% of the planned salary level of the executive managers of the Company:</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4"/>
        <w:gridCol w:w="1881"/>
        <w:gridCol w:w="1882"/>
        <w:gridCol w:w="748"/>
        <w:gridCol w:w="793"/>
        <w:gridCol w:w="1488"/>
        <w:gridCol w:w="1681"/>
      </w:tblGrid>
      <w:tr w:rsidR="00A30288" w14:paraId="2942D705" w14:textId="77777777" w:rsidTr="00F86BE5">
        <w:trPr>
          <w:tblHeader/>
        </w:trPr>
        <w:tc>
          <w:tcPr>
            <w:tcW w:w="544" w:type="dxa"/>
            <w:shd w:val="clear" w:color="auto" w:fill="auto"/>
            <w:tcMar>
              <w:top w:w="0" w:type="dxa"/>
              <w:bottom w:w="0" w:type="dxa"/>
            </w:tcMar>
            <w:vAlign w:val="center"/>
          </w:tcPr>
          <w:p w14:paraId="48000422"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881" w:type="dxa"/>
            <w:shd w:val="clear" w:color="auto" w:fill="auto"/>
            <w:tcMar>
              <w:top w:w="0" w:type="dxa"/>
              <w:bottom w:w="0" w:type="dxa"/>
            </w:tcMar>
            <w:vAlign w:val="center"/>
          </w:tcPr>
          <w:p w14:paraId="43AB6837"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1882" w:type="dxa"/>
            <w:shd w:val="clear" w:color="auto" w:fill="auto"/>
            <w:tcMar>
              <w:top w:w="0" w:type="dxa"/>
              <w:bottom w:w="0" w:type="dxa"/>
            </w:tcMar>
            <w:vAlign w:val="center"/>
          </w:tcPr>
          <w:p w14:paraId="21C9D3FC"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Planned salary level for determining remuneration (VND/person/month)</w:t>
            </w:r>
          </w:p>
        </w:tc>
        <w:tc>
          <w:tcPr>
            <w:tcW w:w="748" w:type="dxa"/>
            <w:shd w:val="clear" w:color="auto" w:fill="auto"/>
            <w:tcMar>
              <w:top w:w="0" w:type="dxa"/>
              <w:bottom w:w="0" w:type="dxa"/>
            </w:tcMar>
            <w:vAlign w:val="center"/>
          </w:tcPr>
          <w:p w14:paraId="56D62165"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Rate</w:t>
            </w:r>
          </w:p>
        </w:tc>
        <w:tc>
          <w:tcPr>
            <w:tcW w:w="793" w:type="dxa"/>
            <w:shd w:val="clear" w:color="auto" w:fill="auto"/>
            <w:tcMar>
              <w:top w:w="0" w:type="dxa"/>
              <w:bottom w:w="0" w:type="dxa"/>
            </w:tcMar>
            <w:vAlign w:val="center"/>
          </w:tcPr>
          <w:p w14:paraId="6FCBF807"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Number of people</w:t>
            </w:r>
          </w:p>
        </w:tc>
        <w:tc>
          <w:tcPr>
            <w:tcW w:w="1488" w:type="dxa"/>
            <w:shd w:val="clear" w:color="auto" w:fill="auto"/>
            <w:tcMar>
              <w:top w:w="0" w:type="dxa"/>
              <w:bottom w:w="0" w:type="dxa"/>
            </w:tcMar>
            <w:vAlign w:val="center"/>
          </w:tcPr>
          <w:p w14:paraId="7EF72AA9"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Remuneration (VND/person/month)</w:t>
            </w:r>
          </w:p>
        </w:tc>
        <w:tc>
          <w:tcPr>
            <w:tcW w:w="1681" w:type="dxa"/>
            <w:shd w:val="clear" w:color="auto" w:fill="auto"/>
            <w:tcMar>
              <w:top w:w="0" w:type="dxa"/>
              <w:bottom w:w="0" w:type="dxa"/>
            </w:tcMar>
            <w:vAlign w:val="center"/>
          </w:tcPr>
          <w:p w14:paraId="6B2C9AFD"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Remuneration (VND/year)</w:t>
            </w:r>
          </w:p>
        </w:tc>
      </w:tr>
      <w:tr w:rsidR="00A30288" w14:paraId="264D0D14" w14:textId="77777777" w:rsidTr="00F86BE5">
        <w:tc>
          <w:tcPr>
            <w:tcW w:w="544" w:type="dxa"/>
            <w:shd w:val="clear" w:color="auto" w:fill="auto"/>
            <w:tcMar>
              <w:top w:w="0" w:type="dxa"/>
              <w:bottom w:w="0" w:type="dxa"/>
            </w:tcMar>
            <w:vAlign w:val="center"/>
          </w:tcPr>
          <w:p w14:paraId="043F9F14"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881" w:type="dxa"/>
            <w:shd w:val="clear" w:color="auto" w:fill="auto"/>
            <w:tcMar>
              <w:top w:w="0" w:type="dxa"/>
              <w:bottom w:w="0" w:type="dxa"/>
            </w:tcMar>
            <w:vAlign w:val="center"/>
          </w:tcPr>
          <w:p w14:paraId="17C687F4" w14:textId="77777777" w:rsidR="00A30288" w:rsidRDefault="001173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882" w:type="dxa"/>
            <w:shd w:val="clear" w:color="auto" w:fill="auto"/>
            <w:tcMar>
              <w:top w:w="0" w:type="dxa"/>
              <w:bottom w:w="0" w:type="dxa"/>
            </w:tcMar>
            <w:vAlign w:val="center"/>
          </w:tcPr>
          <w:p w14:paraId="365A4C45"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36,000,000</w:t>
            </w:r>
          </w:p>
        </w:tc>
        <w:tc>
          <w:tcPr>
            <w:tcW w:w="748" w:type="dxa"/>
            <w:shd w:val="clear" w:color="auto" w:fill="auto"/>
            <w:tcMar>
              <w:top w:w="0" w:type="dxa"/>
              <w:bottom w:w="0" w:type="dxa"/>
            </w:tcMar>
            <w:vAlign w:val="center"/>
          </w:tcPr>
          <w:p w14:paraId="412CC87C"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20%</w:t>
            </w:r>
          </w:p>
        </w:tc>
        <w:tc>
          <w:tcPr>
            <w:tcW w:w="793" w:type="dxa"/>
            <w:shd w:val="clear" w:color="auto" w:fill="auto"/>
            <w:tcMar>
              <w:top w:w="0" w:type="dxa"/>
              <w:bottom w:w="0" w:type="dxa"/>
            </w:tcMar>
            <w:vAlign w:val="center"/>
          </w:tcPr>
          <w:p w14:paraId="6E141995"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01</w:t>
            </w:r>
          </w:p>
        </w:tc>
        <w:tc>
          <w:tcPr>
            <w:tcW w:w="1488" w:type="dxa"/>
            <w:shd w:val="clear" w:color="auto" w:fill="auto"/>
            <w:tcMar>
              <w:top w:w="0" w:type="dxa"/>
              <w:bottom w:w="0" w:type="dxa"/>
            </w:tcMar>
            <w:vAlign w:val="center"/>
          </w:tcPr>
          <w:p w14:paraId="14264F7C"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7,200,000</w:t>
            </w:r>
          </w:p>
        </w:tc>
        <w:tc>
          <w:tcPr>
            <w:tcW w:w="1681" w:type="dxa"/>
            <w:shd w:val="clear" w:color="auto" w:fill="auto"/>
            <w:tcMar>
              <w:top w:w="0" w:type="dxa"/>
              <w:bottom w:w="0" w:type="dxa"/>
            </w:tcMar>
            <w:vAlign w:val="center"/>
          </w:tcPr>
          <w:p w14:paraId="1CC40052"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86,400,000</w:t>
            </w:r>
          </w:p>
        </w:tc>
      </w:tr>
      <w:tr w:rsidR="00A30288" w14:paraId="602871F0" w14:textId="77777777" w:rsidTr="00F86BE5">
        <w:tc>
          <w:tcPr>
            <w:tcW w:w="544" w:type="dxa"/>
            <w:shd w:val="clear" w:color="auto" w:fill="auto"/>
            <w:tcMar>
              <w:top w:w="0" w:type="dxa"/>
              <w:bottom w:w="0" w:type="dxa"/>
            </w:tcMar>
            <w:vAlign w:val="center"/>
          </w:tcPr>
          <w:p w14:paraId="74FB7016"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881" w:type="dxa"/>
            <w:shd w:val="clear" w:color="auto" w:fill="auto"/>
            <w:tcMar>
              <w:top w:w="0" w:type="dxa"/>
              <w:bottom w:w="0" w:type="dxa"/>
            </w:tcMar>
            <w:vAlign w:val="center"/>
          </w:tcPr>
          <w:p w14:paraId="6D07E231" w14:textId="77777777" w:rsidR="00A30288" w:rsidRDefault="001173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882" w:type="dxa"/>
            <w:shd w:val="clear" w:color="auto" w:fill="auto"/>
            <w:tcMar>
              <w:top w:w="0" w:type="dxa"/>
              <w:bottom w:w="0" w:type="dxa"/>
            </w:tcMar>
            <w:vAlign w:val="center"/>
          </w:tcPr>
          <w:p w14:paraId="627D68B6"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30,000,000</w:t>
            </w:r>
          </w:p>
        </w:tc>
        <w:tc>
          <w:tcPr>
            <w:tcW w:w="748" w:type="dxa"/>
            <w:shd w:val="clear" w:color="auto" w:fill="auto"/>
            <w:tcMar>
              <w:top w:w="0" w:type="dxa"/>
              <w:bottom w:w="0" w:type="dxa"/>
            </w:tcMar>
            <w:vAlign w:val="center"/>
          </w:tcPr>
          <w:p w14:paraId="0026F227"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20%</w:t>
            </w:r>
          </w:p>
        </w:tc>
        <w:tc>
          <w:tcPr>
            <w:tcW w:w="793" w:type="dxa"/>
            <w:shd w:val="clear" w:color="auto" w:fill="auto"/>
            <w:tcMar>
              <w:top w:w="0" w:type="dxa"/>
              <w:bottom w:w="0" w:type="dxa"/>
            </w:tcMar>
            <w:vAlign w:val="center"/>
          </w:tcPr>
          <w:p w14:paraId="71246216"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04</w:t>
            </w:r>
          </w:p>
        </w:tc>
        <w:tc>
          <w:tcPr>
            <w:tcW w:w="1488" w:type="dxa"/>
            <w:shd w:val="clear" w:color="auto" w:fill="auto"/>
            <w:tcMar>
              <w:top w:w="0" w:type="dxa"/>
              <w:bottom w:w="0" w:type="dxa"/>
            </w:tcMar>
            <w:vAlign w:val="center"/>
          </w:tcPr>
          <w:p w14:paraId="1BD3CE5F"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6,000,000</w:t>
            </w:r>
          </w:p>
        </w:tc>
        <w:tc>
          <w:tcPr>
            <w:tcW w:w="1681" w:type="dxa"/>
            <w:shd w:val="clear" w:color="auto" w:fill="auto"/>
            <w:tcMar>
              <w:top w:w="0" w:type="dxa"/>
              <w:bottom w:w="0" w:type="dxa"/>
            </w:tcMar>
            <w:vAlign w:val="center"/>
          </w:tcPr>
          <w:p w14:paraId="27A0D56D"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288,000,000</w:t>
            </w:r>
          </w:p>
        </w:tc>
      </w:tr>
      <w:tr w:rsidR="00A30288" w14:paraId="2CAAC326" w14:textId="77777777" w:rsidTr="00F86BE5">
        <w:tc>
          <w:tcPr>
            <w:tcW w:w="544" w:type="dxa"/>
            <w:shd w:val="clear" w:color="auto" w:fill="auto"/>
            <w:tcMar>
              <w:top w:w="0" w:type="dxa"/>
              <w:bottom w:w="0" w:type="dxa"/>
            </w:tcMar>
            <w:vAlign w:val="center"/>
          </w:tcPr>
          <w:p w14:paraId="0AA7FF00"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1881" w:type="dxa"/>
            <w:shd w:val="clear" w:color="auto" w:fill="auto"/>
            <w:tcMar>
              <w:top w:w="0" w:type="dxa"/>
              <w:bottom w:w="0" w:type="dxa"/>
            </w:tcMar>
            <w:vAlign w:val="center"/>
          </w:tcPr>
          <w:p w14:paraId="69EE4B4F" w14:textId="77777777" w:rsidR="00A30288" w:rsidRDefault="001173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882" w:type="dxa"/>
            <w:shd w:val="clear" w:color="auto" w:fill="auto"/>
            <w:tcMar>
              <w:top w:w="0" w:type="dxa"/>
              <w:bottom w:w="0" w:type="dxa"/>
            </w:tcMar>
            <w:vAlign w:val="center"/>
          </w:tcPr>
          <w:p w14:paraId="75CC0B42"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30,000,000</w:t>
            </w:r>
          </w:p>
        </w:tc>
        <w:tc>
          <w:tcPr>
            <w:tcW w:w="748" w:type="dxa"/>
            <w:shd w:val="clear" w:color="auto" w:fill="auto"/>
            <w:tcMar>
              <w:top w:w="0" w:type="dxa"/>
              <w:bottom w:w="0" w:type="dxa"/>
            </w:tcMar>
            <w:vAlign w:val="center"/>
          </w:tcPr>
          <w:p w14:paraId="2FD8E2F5"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20%</w:t>
            </w:r>
          </w:p>
        </w:tc>
        <w:tc>
          <w:tcPr>
            <w:tcW w:w="793" w:type="dxa"/>
            <w:shd w:val="clear" w:color="auto" w:fill="auto"/>
            <w:tcMar>
              <w:top w:w="0" w:type="dxa"/>
              <w:bottom w:w="0" w:type="dxa"/>
            </w:tcMar>
            <w:vAlign w:val="center"/>
          </w:tcPr>
          <w:p w14:paraId="2E878DC6"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01</w:t>
            </w:r>
          </w:p>
        </w:tc>
        <w:tc>
          <w:tcPr>
            <w:tcW w:w="1488" w:type="dxa"/>
            <w:shd w:val="clear" w:color="auto" w:fill="auto"/>
            <w:tcMar>
              <w:top w:w="0" w:type="dxa"/>
              <w:bottom w:w="0" w:type="dxa"/>
            </w:tcMar>
            <w:vAlign w:val="center"/>
          </w:tcPr>
          <w:p w14:paraId="2156A452"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6,000,000</w:t>
            </w:r>
          </w:p>
        </w:tc>
        <w:tc>
          <w:tcPr>
            <w:tcW w:w="1681" w:type="dxa"/>
            <w:shd w:val="clear" w:color="auto" w:fill="auto"/>
            <w:tcMar>
              <w:top w:w="0" w:type="dxa"/>
              <w:bottom w:w="0" w:type="dxa"/>
            </w:tcMar>
            <w:vAlign w:val="center"/>
          </w:tcPr>
          <w:p w14:paraId="13EAAAE5"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72,000,000</w:t>
            </w:r>
          </w:p>
        </w:tc>
      </w:tr>
      <w:tr w:rsidR="00A30288" w14:paraId="6A76CD78" w14:textId="77777777" w:rsidTr="00F86BE5">
        <w:tc>
          <w:tcPr>
            <w:tcW w:w="544" w:type="dxa"/>
            <w:shd w:val="clear" w:color="auto" w:fill="auto"/>
            <w:tcMar>
              <w:top w:w="0" w:type="dxa"/>
              <w:bottom w:w="0" w:type="dxa"/>
            </w:tcMar>
            <w:vAlign w:val="center"/>
          </w:tcPr>
          <w:p w14:paraId="2E0D45DF"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4</w:t>
            </w:r>
          </w:p>
        </w:tc>
        <w:tc>
          <w:tcPr>
            <w:tcW w:w="1881" w:type="dxa"/>
            <w:shd w:val="clear" w:color="auto" w:fill="auto"/>
            <w:tcMar>
              <w:top w:w="0" w:type="dxa"/>
              <w:bottom w:w="0" w:type="dxa"/>
            </w:tcMar>
            <w:vAlign w:val="center"/>
          </w:tcPr>
          <w:p w14:paraId="4E3E5746" w14:textId="77777777" w:rsidR="00A30288" w:rsidRDefault="001173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1882" w:type="dxa"/>
            <w:shd w:val="clear" w:color="auto" w:fill="auto"/>
            <w:tcMar>
              <w:top w:w="0" w:type="dxa"/>
              <w:bottom w:w="0" w:type="dxa"/>
            </w:tcMar>
            <w:vAlign w:val="center"/>
          </w:tcPr>
          <w:p w14:paraId="48A6FB69"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28,000,000</w:t>
            </w:r>
          </w:p>
        </w:tc>
        <w:tc>
          <w:tcPr>
            <w:tcW w:w="748" w:type="dxa"/>
            <w:shd w:val="clear" w:color="auto" w:fill="auto"/>
            <w:tcMar>
              <w:top w:w="0" w:type="dxa"/>
              <w:bottom w:w="0" w:type="dxa"/>
            </w:tcMar>
            <w:vAlign w:val="center"/>
          </w:tcPr>
          <w:p w14:paraId="4907C2F6"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20%</w:t>
            </w:r>
          </w:p>
        </w:tc>
        <w:tc>
          <w:tcPr>
            <w:tcW w:w="793" w:type="dxa"/>
            <w:shd w:val="clear" w:color="auto" w:fill="auto"/>
            <w:tcMar>
              <w:top w:w="0" w:type="dxa"/>
              <w:bottom w:w="0" w:type="dxa"/>
            </w:tcMar>
            <w:vAlign w:val="center"/>
          </w:tcPr>
          <w:p w14:paraId="49CF2CB6"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02</w:t>
            </w:r>
          </w:p>
        </w:tc>
        <w:tc>
          <w:tcPr>
            <w:tcW w:w="1488" w:type="dxa"/>
            <w:shd w:val="clear" w:color="auto" w:fill="auto"/>
            <w:tcMar>
              <w:top w:w="0" w:type="dxa"/>
              <w:bottom w:w="0" w:type="dxa"/>
            </w:tcMar>
            <w:vAlign w:val="center"/>
          </w:tcPr>
          <w:p w14:paraId="2BF317B0"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5,600,000</w:t>
            </w:r>
          </w:p>
        </w:tc>
        <w:tc>
          <w:tcPr>
            <w:tcW w:w="1681" w:type="dxa"/>
            <w:shd w:val="clear" w:color="auto" w:fill="auto"/>
            <w:tcMar>
              <w:top w:w="0" w:type="dxa"/>
              <w:bottom w:w="0" w:type="dxa"/>
            </w:tcMar>
            <w:vAlign w:val="center"/>
          </w:tcPr>
          <w:p w14:paraId="27E07F0D"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134,400,000</w:t>
            </w:r>
          </w:p>
        </w:tc>
      </w:tr>
      <w:tr w:rsidR="00A30288" w14:paraId="28F23FB8" w14:textId="77777777" w:rsidTr="00F86BE5">
        <w:tc>
          <w:tcPr>
            <w:tcW w:w="544" w:type="dxa"/>
            <w:shd w:val="clear" w:color="auto" w:fill="auto"/>
            <w:tcMar>
              <w:top w:w="0" w:type="dxa"/>
              <w:bottom w:w="0" w:type="dxa"/>
            </w:tcMar>
            <w:vAlign w:val="center"/>
          </w:tcPr>
          <w:p w14:paraId="6AB553D3" w14:textId="77777777" w:rsidR="00A30288" w:rsidRDefault="00A30288">
            <w:pPr>
              <w:tabs>
                <w:tab w:val="left" w:pos="432"/>
              </w:tabs>
              <w:spacing w:after="120" w:line="360" w:lineRule="auto"/>
              <w:jc w:val="center"/>
              <w:rPr>
                <w:rFonts w:ascii="Arial" w:eastAsia="Arial" w:hAnsi="Arial" w:cs="Arial"/>
                <w:color w:val="010000"/>
                <w:sz w:val="20"/>
                <w:szCs w:val="20"/>
              </w:rPr>
            </w:pPr>
          </w:p>
        </w:tc>
        <w:tc>
          <w:tcPr>
            <w:tcW w:w="1881" w:type="dxa"/>
            <w:shd w:val="clear" w:color="auto" w:fill="auto"/>
            <w:tcMar>
              <w:top w:w="0" w:type="dxa"/>
              <w:bottom w:w="0" w:type="dxa"/>
            </w:tcMar>
            <w:vAlign w:val="center"/>
          </w:tcPr>
          <w:p w14:paraId="495DC0AF"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Total</w:t>
            </w:r>
          </w:p>
        </w:tc>
        <w:tc>
          <w:tcPr>
            <w:tcW w:w="1882" w:type="dxa"/>
            <w:shd w:val="clear" w:color="auto" w:fill="auto"/>
            <w:tcMar>
              <w:top w:w="0" w:type="dxa"/>
              <w:bottom w:w="0" w:type="dxa"/>
            </w:tcMar>
            <w:vAlign w:val="center"/>
          </w:tcPr>
          <w:p w14:paraId="2CB5DD28" w14:textId="77777777" w:rsidR="00A30288" w:rsidRDefault="00A30288">
            <w:pPr>
              <w:tabs>
                <w:tab w:val="left" w:pos="432"/>
              </w:tabs>
              <w:spacing w:after="120" w:line="360" w:lineRule="auto"/>
              <w:jc w:val="center"/>
              <w:rPr>
                <w:rFonts w:ascii="Arial" w:eastAsia="Arial" w:hAnsi="Arial" w:cs="Arial"/>
                <w:color w:val="010000"/>
                <w:sz w:val="20"/>
                <w:szCs w:val="20"/>
              </w:rPr>
            </w:pPr>
          </w:p>
        </w:tc>
        <w:tc>
          <w:tcPr>
            <w:tcW w:w="748" w:type="dxa"/>
            <w:shd w:val="clear" w:color="auto" w:fill="auto"/>
            <w:tcMar>
              <w:top w:w="0" w:type="dxa"/>
              <w:bottom w:w="0" w:type="dxa"/>
            </w:tcMar>
            <w:vAlign w:val="center"/>
          </w:tcPr>
          <w:p w14:paraId="57F20A5E" w14:textId="77777777" w:rsidR="00A30288" w:rsidRDefault="00A30288">
            <w:pPr>
              <w:tabs>
                <w:tab w:val="left" w:pos="432"/>
              </w:tabs>
              <w:spacing w:after="120" w:line="360" w:lineRule="auto"/>
              <w:jc w:val="center"/>
              <w:rPr>
                <w:rFonts w:ascii="Arial" w:eastAsia="Arial" w:hAnsi="Arial" w:cs="Arial"/>
                <w:color w:val="010000"/>
                <w:sz w:val="20"/>
                <w:szCs w:val="20"/>
              </w:rPr>
            </w:pPr>
          </w:p>
        </w:tc>
        <w:tc>
          <w:tcPr>
            <w:tcW w:w="793" w:type="dxa"/>
            <w:shd w:val="clear" w:color="auto" w:fill="auto"/>
            <w:tcMar>
              <w:top w:w="0" w:type="dxa"/>
              <w:bottom w:w="0" w:type="dxa"/>
            </w:tcMar>
            <w:vAlign w:val="center"/>
          </w:tcPr>
          <w:p w14:paraId="7B8492E2"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08</w:t>
            </w:r>
          </w:p>
        </w:tc>
        <w:tc>
          <w:tcPr>
            <w:tcW w:w="1488" w:type="dxa"/>
            <w:shd w:val="clear" w:color="auto" w:fill="auto"/>
            <w:tcMar>
              <w:top w:w="0" w:type="dxa"/>
              <w:bottom w:w="0" w:type="dxa"/>
            </w:tcMar>
            <w:vAlign w:val="center"/>
          </w:tcPr>
          <w:p w14:paraId="2803E708" w14:textId="77777777" w:rsidR="00A30288" w:rsidRDefault="00A30288">
            <w:pPr>
              <w:tabs>
                <w:tab w:val="left" w:pos="432"/>
              </w:tabs>
              <w:spacing w:after="120" w:line="360" w:lineRule="auto"/>
              <w:jc w:val="center"/>
              <w:rPr>
                <w:rFonts w:ascii="Arial" w:eastAsia="Arial" w:hAnsi="Arial" w:cs="Arial"/>
                <w:color w:val="010000"/>
                <w:sz w:val="20"/>
                <w:szCs w:val="20"/>
              </w:rPr>
            </w:pPr>
          </w:p>
        </w:tc>
        <w:tc>
          <w:tcPr>
            <w:tcW w:w="1681" w:type="dxa"/>
            <w:shd w:val="clear" w:color="auto" w:fill="auto"/>
            <w:tcMar>
              <w:top w:w="0" w:type="dxa"/>
              <w:bottom w:w="0" w:type="dxa"/>
            </w:tcMar>
            <w:vAlign w:val="center"/>
          </w:tcPr>
          <w:p w14:paraId="38C2EC5B" w14:textId="77777777" w:rsidR="00A30288" w:rsidRDefault="0011739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580,800,000</w:t>
            </w:r>
          </w:p>
        </w:tc>
      </w:tr>
    </w:tbl>
    <w:p w14:paraId="70833575" w14:textId="77777777" w:rsidR="00A30288" w:rsidRDefault="001173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above remuneration level is only an estimate, the actual payment level for the Board of Directors and Supervisory Board will be determined based on the Company's production and business results in 2024.</w:t>
      </w:r>
    </w:p>
    <w:p w14:paraId="74A6AB82" w14:textId="77777777" w:rsidR="00A30288" w:rsidRDefault="0011739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8. Approve the policy of buying/selling steel billets in 2024-2025 with Vietnam National Coal and Mineral Industries Group.</w:t>
      </w:r>
    </w:p>
    <w:p w14:paraId="390E8A8B" w14:textId="5C5E6E48" w:rsidR="00A30288" w:rsidRDefault="0011739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authorized the Board of Directors to: (</w:t>
      </w:r>
      <w:proofErr w:type="spellStart"/>
      <w:r>
        <w:rPr>
          <w:rFonts w:ascii="Arial" w:hAnsi="Arial"/>
          <w:color w:val="010000"/>
          <w:sz w:val="20"/>
        </w:rPr>
        <w:t>i</w:t>
      </w:r>
      <w:proofErr w:type="spellEnd"/>
      <w:r>
        <w:rPr>
          <w:rFonts w:ascii="Arial" w:hAnsi="Arial"/>
          <w:color w:val="010000"/>
          <w:sz w:val="20"/>
        </w:rPr>
        <w:t xml:space="preserve">) To approve the standard contract; </w:t>
      </w:r>
      <w:r w:rsidR="00F86BE5">
        <w:rPr>
          <w:rFonts w:ascii="Arial" w:hAnsi="Arial"/>
          <w:color w:val="010000"/>
          <w:sz w:val="20"/>
        </w:rPr>
        <w:t xml:space="preserve">and </w:t>
      </w:r>
      <w:r>
        <w:rPr>
          <w:rFonts w:ascii="Arial" w:hAnsi="Arial"/>
          <w:color w:val="010000"/>
          <w:sz w:val="20"/>
        </w:rPr>
        <w:t>(ii) approve the implementation process, plan</w:t>
      </w:r>
      <w:r w:rsidR="00F86BE5">
        <w:rPr>
          <w:rFonts w:ascii="Arial" w:hAnsi="Arial"/>
          <w:color w:val="010000"/>
          <w:sz w:val="20"/>
        </w:rPr>
        <w:t>,</w:t>
      </w:r>
      <w:r>
        <w:rPr>
          <w:rFonts w:ascii="Arial" w:hAnsi="Arial"/>
          <w:color w:val="010000"/>
          <w:sz w:val="20"/>
        </w:rPr>
        <w:t xml:space="preserve"> and method of product consumption as a basis for signing the Economic Contract for buying and selling steel billets in 2024-2025 with Vietnam National Coal and Mineral Industries Group </w:t>
      </w:r>
      <w:r w:rsidR="00F86BE5">
        <w:rPr>
          <w:rFonts w:ascii="Arial" w:hAnsi="Arial"/>
          <w:color w:val="010000"/>
          <w:sz w:val="20"/>
        </w:rPr>
        <w:t>following</w:t>
      </w:r>
      <w:r>
        <w:rPr>
          <w:rFonts w:ascii="Arial" w:hAnsi="Arial"/>
          <w:color w:val="010000"/>
          <w:sz w:val="20"/>
        </w:rPr>
        <w:t xml:space="preserve"> the actual production and business conditions of the Company, legal provisions, the Company's Charter and the Annual General Mandate in 2024.</w:t>
      </w:r>
    </w:p>
    <w:p w14:paraId="7DE5DB1F" w14:textId="77777777" w:rsidR="00A30288" w:rsidRDefault="0011739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9. Approve the policy of buying/selling coke coal in 2024-2025 with Vietnam National Coal and Mineral Industries Group.</w:t>
      </w:r>
    </w:p>
    <w:p w14:paraId="7614324A" w14:textId="11C44D11" w:rsidR="00A30288" w:rsidRDefault="0011739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authorized the Board of Directors to: (</w:t>
      </w:r>
      <w:proofErr w:type="spellStart"/>
      <w:r>
        <w:rPr>
          <w:rFonts w:ascii="Arial" w:hAnsi="Arial"/>
          <w:color w:val="010000"/>
          <w:sz w:val="20"/>
        </w:rPr>
        <w:t>i</w:t>
      </w:r>
      <w:proofErr w:type="spellEnd"/>
      <w:r>
        <w:rPr>
          <w:rFonts w:ascii="Arial" w:hAnsi="Arial"/>
          <w:color w:val="010000"/>
          <w:sz w:val="20"/>
        </w:rPr>
        <w:t>) To approve the standard contract; (ii) approve the specific implementation process, plan</w:t>
      </w:r>
      <w:r w:rsidR="00F86BE5">
        <w:rPr>
          <w:rFonts w:ascii="Arial" w:hAnsi="Arial"/>
          <w:color w:val="010000"/>
          <w:sz w:val="20"/>
        </w:rPr>
        <w:t>,</w:t>
      </w:r>
      <w:r>
        <w:rPr>
          <w:rFonts w:ascii="Arial" w:hAnsi="Arial"/>
          <w:color w:val="010000"/>
          <w:sz w:val="20"/>
        </w:rPr>
        <w:t xml:space="preserve"> and procurement method as a basis for signing the Economic Contract for buying and selling coke coal in 2024-2025 with Vietnam National Coal and Mineral Industries Group </w:t>
      </w:r>
      <w:r w:rsidR="00F86BE5">
        <w:rPr>
          <w:rFonts w:ascii="Arial" w:hAnsi="Arial"/>
          <w:color w:val="010000"/>
          <w:sz w:val="20"/>
        </w:rPr>
        <w:t>following</w:t>
      </w:r>
      <w:r>
        <w:rPr>
          <w:rFonts w:ascii="Arial" w:hAnsi="Arial"/>
          <w:color w:val="010000"/>
          <w:sz w:val="20"/>
        </w:rPr>
        <w:t xml:space="preserve"> the actual production and business conditions of the Company, legal provisions, the Company's Charter and the Annual General Mandate in 2024.</w:t>
      </w:r>
    </w:p>
    <w:p w14:paraId="7FDA2ECD" w14:textId="32CD4B62" w:rsidR="00A30288" w:rsidRDefault="0011739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10. Approve the dismissal of a member of the Company's Board of Directors.</w:t>
      </w:r>
    </w:p>
    <w:p w14:paraId="70425A4B" w14:textId="77777777" w:rsidR="00A30288" w:rsidRDefault="0011739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The General Meeting of Shareholders approves the dismissal of Mr. Bui Tien </w:t>
      </w:r>
      <w:proofErr w:type="spellStart"/>
      <w:r>
        <w:rPr>
          <w:rFonts w:ascii="Arial" w:hAnsi="Arial"/>
          <w:color w:val="010000"/>
          <w:sz w:val="20"/>
        </w:rPr>
        <w:t>Hai</w:t>
      </w:r>
      <w:proofErr w:type="spellEnd"/>
      <w:r>
        <w:rPr>
          <w:rFonts w:ascii="Arial" w:hAnsi="Arial"/>
          <w:color w:val="010000"/>
          <w:sz w:val="20"/>
        </w:rPr>
        <w:t xml:space="preserve"> as a member of the Board of Directors for the term 2022-2027.</w:t>
      </w:r>
    </w:p>
    <w:p w14:paraId="3C8ED7C6" w14:textId="77777777" w:rsidR="00A30288" w:rsidRDefault="0011739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11. Results of the additional election of a member of the Board of Directors for the term 2022-2027.</w:t>
      </w:r>
    </w:p>
    <w:p w14:paraId="4EF88964" w14:textId="77777777" w:rsidR="00A30288" w:rsidRDefault="0011739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According to the vote counting results, Mr. Ngo </w:t>
      </w:r>
      <w:proofErr w:type="spellStart"/>
      <w:r>
        <w:rPr>
          <w:rFonts w:ascii="Arial" w:hAnsi="Arial"/>
          <w:color w:val="010000"/>
          <w:sz w:val="20"/>
        </w:rPr>
        <w:t>Quoc</w:t>
      </w:r>
      <w:proofErr w:type="spellEnd"/>
      <w:r>
        <w:rPr>
          <w:rFonts w:ascii="Arial" w:hAnsi="Arial"/>
          <w:color w:val="010000"/>
          <w:sz w:val="20"/>
        </w:rPr>
        <w:t xml:space="preserve"> </w:t>
      </w:r>
      <w:proofErr w:type="spellStart"/>
      <w:r>
        <w:rPr>
          <w:rFonts w:ascii="Arial" w:hAnsi="Arial"/>
          <w:color w:val="010000"/>
          <w:sz w:val="20"/>
        </w:rPr>
        <w:t>Trung</w:t>
      </w:r>
      <w:proofErr w:type="spellEnd"/>
      <w:r>
        <w:rPr>
          <w:rFonts w:ascii="Arial" w:hAnsi="Arial"/>
          <w:color w:val="010000"/>
          <w:sz w:val="20"/>
        </w:rPr>
        <w:t xml:space="preserve"> - Deputy General Manager of Vietnam National Coal and Mineral Industries Group - the representative of Vietnam National Coal and Mineral Industries Group's capital in the Company was elected as a member of the Board of Directors of Cao Bang Cast Iron &amp; Steel JSC for the term 2022-2027.</w:t>
      </w:r>
    </w:p>
    <w:p w14:paraId="2FBB9F97" w14:textId="77777777" w:rsidR="00A30288" w:rsidRDefault="0011739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12. Terms of enforcement</w:t>
      </w:r>
    </w:p>
    <w:p w14:paraId="4BE62AAA" w14:textId="15A45F6F" w:rsidR="00A30288" w:rsidRDefault="0011739D">
      <w:pPr>
        <w:numPr>
          <w:ilvl w:val="0"/>
          <w:numId w:val="4"/>
        </w:numPr>
        <w:pBdr>
          <w:top w:val="nil"/>
          <w:left w:val="nil"/>
          <w:bottom w:val="nil"/>
          <w:right w:val="nil"/>
          <w:between w:val="nil"/>
        </w:pBdr>
        <w:tabs>
          <w:tab w:val="left" w:pos="432"/>
          <w:tab w:val="left" w:pos="1096"/>
        </w:tabs>
        <w:spacing w:after="120" w:line="360" w:lineRule="auto"/>
        <w:jc w:val="both"/>
        <w:rPr>
          <w:rFonts w:ascii="Arial" w:eastAsia="Arial" w:hAnsi="Arial" w:cs="Arial"/>
          <w:color w:val="010000"/>
          <w:sz w:val="20"/>
          <w:szCs w:val="20"/>
        </w:rPr>
      </w:pPr>
      <w:r>
        <w:rPr>
          <w:rFonts w:ascii="Arial" w:hAnsi="Arial"/>
          <w:color w:val="010000"/>
          <w:sz w:val="20"/>
        </w:rPr>
        <w:t xml:space="preserve">This General Mandate was approved by the Annual General Meeting of Shareholders 2024 of Cao Bang Cast Iron &amp; Steel JSC </w:t>
      </w:r>
    </w:p>
    <w:p w14:paraId="57FF882F" w14:textId="10E94FAB" w:rsidR="00A30288" w:rsidRDefault="0011739D">
      <w:pPr>
        <w:numPr>
          <w:ilvl w:val="0"/>
          <w:numId w:val="4"/>
        </w:numPr>
        <w:pBdr>
          <w:top w:val="nil"/>
          <w:left w:val="nil"/>
          <w:bottom w:val="nil"/>
          <w:right w:val="nil"/>
          <w:between w:val="nil"/>
        </w:pBdr>
        <w:tabs>
          <w:tab w:val="left" w:pos="432"/>
          <w:tab w:val="left" w:pos="1089"/>
        </w:tabs>
        <w:spacing w:after="120" w:line="360" w:lineRule="auto"/>
        <w:jc w:val="both"/>
        <w:rPr>
          <w:rFonts w:ascii="Arial" w:eastAsia="Arial" w:hAnsi="Arial" w:cs="Arial"/>
          <w:color w:val="010000"/>
          <w:sz w:val="20"/>
          <w:szCs w:val="20"/>
        </w:rPr>
      </w:pPr>
      <w:r>
        <w:rPr>
          <w:rFonts w:ascii="Arial" w:hAnsi="Arial"/>
          <w:color w:val="010000"/>
          <w:sz w:val="20"/>
        </w:rPr>
        <w:lastRenderedPageBreak/>
        <w:t>This General Mandate takes effect from the date that it is approved by the General Meeting of Shareholders.</w:t>
      </w:r>
    </w:p>
    <w:p w14:paraId="01185768" w14:textId="351D1270" w:rsidR="00A30288" w:rsidRDefault="0011739D">
      <w:pPr>
        <w:numPr>
          <w:ilvl w:val="0"/>
          <w:numId w:val="4"/>
        </w:numPr>
        <w:pBdr>
          <w:top w:val="nil"/>
          <w:left w:val="nil"/>
          <w:bottom w:val="nil"/>
          <w:right w:val="nil"/>
          <w:between w:val="nil"/>
        </w:pBdr>
        <w:tabs>
          <w:tab w:val="left" w:pos="432"/>
          <w:tab w:val="left" w:pos="1100"/>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assigns the Board of Directors, the Supervisory Board, the Executive Board</w:t>
      </w:r>
      <w:r w:rsidR="00F86BE5">
        <w:rPr>
          <w:rFonts w:ascii="Arial" w:hAnsi="Arial"/>
          <w:color w:val="010000"/>
          <w:sz w:val="20"/>
        </w:rPr>
        <w:t>,</w:t>
      </w:r>
      <w:r>
        <w:rPr>
          <w:rFonts w:ascii="Arial" w:hAnsi="Arial"/>
          <w:color w:val="010000"/>
          <w:sz w:val="20"/>
        </w:rPr>
        <w:t xml:space="preserve"> and all shareholders of the Company to be responsible for implementing it </w:t>
      </w:r>
      <w:r w:rsidR="00F86BE5">
        <w:rPr>
          <w:rFonts w:ascii="Arial" w:hAnsi="Arial"/>
          <w:color w:val="010000"/>
          <w:sz w:val="20"/>
        </w:rPr>
        <w:t>following</w:t>
      </w:r>
      <w:r>
        <w:rPr>
          <w:rFonts w:ascii="Arial" w:hAnsi="Arial"/>
          <w:color w:val="010000"/>
          <w:sz w:val="20"/>
        </w:rPr>
        <w:t xml:space="preserve"> their authority, functions</w:t>
      </w:r>
      <w:r w:rsidR="00F86BE5">
        <w:rPr>
          <w:rFonts w:ascii="Arial" w:hAnsi="Arial"/>
          <w:color w:val="010000"/>
          <w:sz w:val="20"/>
        </w:rPr>
        <w:t>,</w:t>
      </w:r>
      <w:bookmarkStart w:id="0" w:name="_GoBack"/>
      <w:bookmarkEnd w:id="0"/>
      <w:r>
        <w:rPr>
          <w:rFonts w:ascii="Arial" w:hAnsi="Arial"/>
          <w:color w:val="010000"/>
          <w:sz w:val="20"/>
        </w:rPr>
        <w:t xml:space="preserve"> and activities in compliance with the provisions of the Law and the Charter on organization and operation of Cao Bang Cast Iron &amp; Steel JSC.</w:t>
      </w:r>
    </w:p>
    <w:sectPr w:rsidR="00A30288">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Aptos Display">
    <w:panose1 w:val="00000000000000000000"/>
    <w:charset w:val="00"/>
    <w:family w:val="roman"/>
    <w:notTrueType/>
    <w:pitch w:val="default"/>
  </w:font>
  <w:font w:name="等线">
    <w:panose1 w:val="00000000000000000000"/>
    <w:charset w:val="8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E3D04"/>
    <w:multiLevelType w:val="multilevel"/>
    <w:tmpl w:val="13D89AB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54E05AF"/>
    <w:multiLevelType w:val="multilevel"/>
    <w:tmpl w:val="65A027F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D251832"/>
    <w:multiLevelType w:val="multilevel"/>
    <w:tmpl w:val="D742BF68"/>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789239D7"/>
    <w:multiLevelType w:val="multilevel"/>
    <w:tmpl w:val="3E4C544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88"/>
    <w:rsid w:val="0011739D"/>
    <w:rsid w:val="007F3B20"/>
    <w:rsid w:val="00A30288"/>
    <w:rsid w:val="00F86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99B4B"/>
  <w15:docId w15:val="{3D4F3A02-5179-4689-B723-FE3F5A171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color w:val="CF6693"/>
      <w:sz w:val="16"/>
      <w:szCs w:val="16"/>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iCs/>
      <w:smallCaps w:val="0"/>
      <w:strike w:val="0"/>
      <w:color w:val="D43A7A"/>
      <w:sz w:val="18"/>
      <w:szCs w:val="1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28"/>
      <w:szCs w:val="28"/>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after="100" w:line="259" w:lineRule="auto"/>
      <w:ind w:firstLine="400"/>
    </w:pPr>
    <w:rPr>
      <w:rFonts w:ascii="Times New Roman" w:eastAsia="Times New Roman" w:hAnsi="Times New Roman" w:cs="Times New Roman"/>
      <w:sz w:val="26"/>
      <w:szCs w:val="26"/>
    </w:rPr>
  </w:style>
  <w:style w:type="paragraph" w:customStyle="1" w:styleId="Khc0">
    <w:name w:val="Khác"/>
    <w:basedOn w:val="Normal"/>
    <w:link w:val="Khc"/>
    <w:pPr>
      <w:spacing w:after="100" w:line="259" w:lineRule="auto"/>
      <w:ind w:firstLine="400"/>
    </w:pPr>
    <w:rPr>
      <w:rFonts w:ascii="Times New Roman" w:eastAsia="Times New Roman" w:hAnsi="Times New Roman" w:cs="Times New Roman"/>
      <w:sz w:val="26"/>
      <w:szCs w:val="26"/>
    </w:rPr>
  </w:style>
  <w:style w:type="paragraph" w:customStyle="1" w:styleId="Chthchbng0">
    <w:name w:val="Chú thích bảng"/>
    <w:basedOn w:val="Normal"/>
    <w:link w:val="Chthchbng"/>
    <w:pPr>
      <w:spacing w:line="254" w:lineRule="auto"/>
      <w:ind w:firstLine="680"/>
    </w:pPr>
    <w:rPr>
      <w:rFonts w:ascii="Times New Roman" w:eastAsia="Times New Roman" w:hAnsi="Times New Roman" w:cs="Times New Roman"/>
      <w:sz w:val="26"/>
      <w:szCs w:val="26"/>
    </w:rPr>
  </w:style>
  <w:style w:type="paragraph" w:customStyle="1" w:styleId="Vnbnnidung50">
    <w:name w:val="Văn bản nội dung (5)"/>
    <w:basedOn w:val="Normal"/>
    <w:link w:val="Vnbnnidung5"/>
    <w:pPr>
      <w:spacing w:after="220"/>
      <w:jc w:val="right"/>
    </w:pPr>
    <w:rPr>
      <w:rFonts w:ascii="Arial" w:eastAsia="Arial" w:hAnsi="Arial" w:cs="Arial"/>
      <w:color w:val="CF6693"/>
      <w:sz w:val="16"/>
      <w:szCs w:val="16"/>
    </w:rPr>
  </w:style>
  <w:style w:type="paragraph" w:customStyle="1" w:styleId="Vnbnnidung40">
    <w:name w:val="Văn bản nội dung (4)"/>
    <w:basedOn w:val="Normal"/>
    <w:link w:val="Vnbnnidung4"/>
    <w:pPr>
      <w:spacing w:after="50" w:line="312" w:lineRule="auto"/>
    </w:pPr>
    <w:rPr>
      <w:rFonts w:ascii="Arial" w:eastAsia="Arial" w:hAnsi="Arial" w:cs="Arial"/>
      <w:i/>
      <w:iCs/>
      <w:color w:val="D43A7A"/>
      <w:sz w:val="18"/>
      <w:szCs w:val="18"/>
    </w:rPr>
  </w:style>
  <w:style w:type="paragraph" w:customStyle="1" w:styleId="Vnbnnidung20">
    <w:name w:val="Văn bản nội dung (2)"/>
    <w:basedOn w:val="Normal"/>
    <w:link w:val="Vnbnnidung2"/>
    <w:pPr>
      <w:spacing w:after="100"/>
      <w:ind w:firstLine="720"/>
    </w:pPr>
    <w:rPr>
      <w:rFonts w:ascii="Times New Roman" w:eastAsia="Times New Roman" w:hAnsi="Times New Roman" w:cs="Times New Roman"/>
      <w:i/>
      <w:iCs/>
      <w:sz w:val="28"/>
      <w:szCs w:val="28"/>
    </w:rPr>
  </w:style>
  <w:style w:type="paragraph" w:customStyle="1" w:styleId="Vnbnnidung30">
    <w:name w:val="Văn bản nội dung (3)"/>
    <w:basedOn w:val="Normal"/>
    <w:link w:val="Vnbnnidung3"/>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UobJqP0H6pl+ZlnNlUZYsWCi8w==">CgMxLjA4AHIhMWhRbWFUX1lWVHliRXRsM3FfUFdObVJhS3B1eHNZWm9o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1270</Words>
  <Characters>6808</Characters>
  <Application>Microsoft Office Word</Application>
  <DocSecurity>0</DocSecurity>
  <Lines>324</Lines>
  <Paragraphs>269</Paragraphs>
  <ScaleCrop>false</ScaleCrop>
  <Company/>
  <LinksUpToDate>false</LinksUpToDate>
  <CharactersWithSpaces>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4</cp:revision>
  <dcterms:created xsi:type="dcterms:W3CDTF">2024-05-03T02:35:00Z</dcterms:created>
  <dcterms:modified xsi:type="dcterms:W3CDTF">2024-05-04T09:40:00Z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887dc08230a1c07a24d94d2e256872330c3b18d4db9153278766c2c29c338bcf</vt:lpwstr>
  </property>
</Properties>
</file>