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E7847" w14:textId="77777777" w:rsidR="00C92E8D" w:rsidRDefault="00A41E7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CCV: Annual General Mandate</w:t>
      </w:r>
    </w:p>
    <w:p w14:paraId="5EF9097E" w14:textId="77777777" w:rsidR="00C92E8D" w:rsidRDefault="00A41E7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23, 2024, VCC Engineering Consultants Joint Stock Company announced General Mandate No. 25/NQ-DHDCD as follows:</w:t>
      </w:r>
    </w:p>
    <w:p w14:paraId="12EE0E7A" w14:textId="255A95C1" w:rsidR="00C92E8D" w:rsidRDefault="00A41E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 Approve the Report on corporate governance, operating results of the Board of Directors in 2023</w:t>
      </w:r>
      <w:r w:rsidR="00CF2749">
        <w:rPr>
          <w:rFonts w:ascii="Arial" w:hAnsi="Arial"/>
          <w:color w:val="010000"/>
          <w:sz w:val="20"/>
        </w:rPr>
        <w:t>,</w:t>
      </w:r>
      <w:r>
        <w:rPr>
          <w:rFonts w:ascii="Arial" w:hAnsi="Arial"/>
          <w:color w:val="010000"/>
          <w:sz w:val="20"/>
        </w:rPr>
        <w:t xml:space="preserve"> and the operation plan for 2024.</w:t>
      </w:r>
    </w:p>
    <w:p w14:paraId="51AE20C8" w14:textId="77777777" w:rsidR="00C92E8D" w:rsidRDefault="00A41E7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General Manager's Report on production and business results in 2023 and the orientation for production and business activities in 2024.</w:t>
      </w:r>
    </w:p>
    <w:p w14:paraId="202C76EB" w14:textId="77777777" w:rsidR="00C92E8D" w:rsidRDefault="00A41E7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Report on activities of the Supervisory Board in 2023 and the operational plan for 2024.</w:t>
      </w:r>
    </w:p>
    <w:p w14:paraId="64DADC2D" w14:textId="77777777" w:rsidR="00C92E8D" w:rsidRDefault="00A41E7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Audited Consolidated Financial Statement and Separate Financial Statement 2023.</w:t>
      </w:r>
    </w:p>
    <w:p w14:paraId="3B3D9D23" w14:textId="1F2FD7BF" w:rsidR="00C92E8D" w:rsidRDefault="00A41E7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Proposal on business results, profit distribution plan after tax in 2023</w:t>
      </w:r>
      <w:r w:rsidR="00CF2749">
        <w:rPr>
          <w:rFonts w:ascii="Arial" w:hAnsi="Arial"/>
          <w:color w:val="010000"/>
          <w:sz w:val="20"/>
        </w:rPr>
        <w:t>,</w:t>
      </w:r>
      <w:r>
        <w:rPr>
          <w:rFonts w:ascii="Arial" w:hAnsi="Arial"/>
          <w:color w:val="010000"/>
          <w:sz w:val="20"/>
        </w:rPr>
        <w:t xml:space="preserve"> and business plan, profit distribution plan after tax in 2024.</w:t>
      </w:r>
    </w:p>
    <w:p w14:paraId="45C22C0B" w14:textId="77777777" w:rsidR="00C92E8D" w:rsidRPr="00A41E79" w:rsidRDefault="00A41E79">
      <w:pPr>
        <w:pBdr>
          <w:top w:val="nil"/>
          <w:left w:val="nil"/>
          <w:bottom w:val="nil"/>
          <w:right w:val="nil"/>
          <w:between w:val="nil"/>
        </w:pBdr>
        <w:tabs>
          <w:tab w:val="left" w:pos="432"/>
        </w:tabs>
        <w:spacing w:after="120" w:line="360" w:lineRule="auto"/>
        <w:jc w:val="both"/>
        <w:rPr>
          <w:rFonts w:ascii="Arial" w:eastAsia="Arial" w:hAnsi="Arial" w:cs="Arial"/>
          <w:bCs/>
          <w:color w:val="010000"/>
          <w:sz w:val="20"/>
          <w:szCs w:val="20"/>
        </w:rPr>
      </w:pPr>
      <w:r w:rsidRPr="00A41E79">
        <w:rPr>
          <w:rFonts w:ascii="Arial" w:hAnsi="Arial"/>
          <w:bCs/>
          <w:color w:val="010000"/>
          <w:sz w:val="20"/>
        </w:rPr>
        <w:t>Business results and profit distribution after tax in 2023 with specific targets are as follows:</w:t>
      </w:r>
    </w:p>
    <w:p w14:paraId="45208427" w14:textId="77777777" w:rsidR="00C92E8D" w:rsidRPr="006314B7" w:rsidRDefault="00A41E79">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314B7">
        <w:rPr>
          <w:rFonts w:ascii="Arial" w:hAnsi="Arial"/>
          <w:i/>
          <w:color w:val="010000"/>
          <w:sz w:val="20"/>
        </w:rPr>
        <w:t>Unit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
        <w:gridCol w:w="25"/>
        <w:gridCol w:w="4184"/>
        <w:gridCol w:w="2130"/>
        <w:gridCol w:w="2076"/>
      </w:tblGrid>
      <w:tr w:rsidR="00C92E8D" w14:paraId="1D2DA49C" w14:textId="77777777">
        <w:tc>
          <w:tcPr>
            <w:tcW w:w="627" w:type="dxa"/>
            <w:gridSpan w:val="2"/>
            <w:shd w:val="clear" w:color="auto" w:fill="auto"/>
            <w:tcMar>
              <w:top w:w="0" w:type="dxa"/>
              <w:bottom w:w="0" w:type="dxa"/>
            </w:tcMar>
            <w:vAlign w:val="center"/>
          </w:tcPr>
          <w:p w14:paraId="0B7AA410" w14:textId="77777777" w:rsidR="00C92E8D" w:rsidRPr="006314B7" w:rsidRDefault="00A41E79">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6314B7">
              <w:rPr>
                <w:rFonts w:ascii="Arial" w:hAnsi="Arial"/>
                <w:b/>
                <w:color w:val="010000"/>
                <w:sz w:val="20"/>
              </w:rPr>
              <w:t>No.</w:t>
            </w:r>
          </w:p>
        </w:tc>
        <w:tc>
          <w:tcPr>
            <w:tcW w:w="4184" w:type="dxa"/>
            <w:shd w:val="clear" w:color="auto" w:fill="auto"/>
            <w:tcMar>
              <w:top w:w="0" w:type="dxa"/>
              <w:bottom w:w="0" w:type="dxa"/>
            </w:tcMar>
            <w:vAlign w:val="center"/>
          </w:tcPr>
          <w:p w14:paraId="7AF4AFC2" w14:textId="77777777" w:rsidR="00C92E8D" w:rsidRPr="006314B7" w:rsidRDefault="00A41E79">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6314B7">
              <w:rPr>
                <w:rFonts w:ascii="Arial" w:hAnsi="Arial"/>
                <w:b/>
                <w:color w:val="010000"/>
                <w:sz w:val="20"/>
              </w:rPr>
              <w:t>Target</w:t>
            </w:r>
          </w:p>
        </w:tc>
        <w:tc>
          <w:tcPr>
            <w:tcW w:w="2130" w:type="dxa"/>
            <w:shd w:val="clear" w:color="auto" w:fill="auto"/>
            <w:tcMar>
              <w:top w:w="0" w:type="dxa"/>
              <w:bottom w:w="0" w:type="dxa"/>
            </w:tcMar>
            <w:vAlign w:val="center"/>
          </w:tcPr>
          <w:p w14:paraId="18079D4A" w14:textId="77777777" w:rsidR="00C92E8D" w:rsidRPr="006314B7" w:rsidRDefault="00A41E79">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6314B7">
              <w:rPr>
                <w:rFonts w:ascii="Arial" w:hAnsi="Arial"/>
                <w:b/>
                <w:color w:val="010000"/>
                <w:sz w:val="20"/>
              </w:rPr>
              <w:t>Results</w:t>
            </w:r>
          </w:p>
        </w:tc>
        <w:tc>
          <w:tcPr>
            <w:tcW w:w="2076" w:type="dxa"/>
            <w:shd w:val="clear" w:color="auto" w:fill="auto"/>
            <w:tcMar>
              <w:top w:w="0" w:type="dxa"/>
              <w:bottom w:w="0" w:type="dxa"/>
            </w:tcMar>
            <w:vAlign w:val="center"/>
          </w:tcPr>
          <w:p w14:paraId="7729E470" w14:textId="77777777" w:rsidR="00C92E8D" w:rsidRPr="006314B7" w:rsidRDefault="00A41E79">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6314B7">
              <w:rPr>
                <w:rFonts w:ascii="Arial" w:hAnsi="Arial"/>
                <w:b/>
                <w:color w:val="010000"/>
                <w:sz w:val="20"/>
              </w:rPr>
              <w:t>Annual General Mandate</w:t>
            </w:r>
          </w:p>
        </w:tc>
      </w:tr>
      <w:tr w:rsidR="00C92E8D" w14:paraId="71B911F6" w14:textId="77777777">
        <w:tc>
          <w:tcPr>
            <w:tcW w:w="627" w:type="dxa"/>
            <w:gridSpan w:val="2"/>
            <w:shd w:val="clear" w:color="auto" w:fill="auto"/>
            <w:tcMar>
              <w:top w:w="0" w:type="dxa"/>
              <w:bottom w:w="0" w:type="dxa"/>
            </w:tcMar>
            <w:vAlign w:val="center"/>
          </w:tcPr>
          <w:p w14:paraId="7B10BB53"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4184" w:type="dxa"/>
            <w:shd w:val="clear" w:color="auto" w:fill="auto"/>
            <w:tcMar>
              <w:top w:w="0" w:type="dxa"/>
              <w:bottom w:w="0" w:type="dxa"/>
            </w:tcMar>
            <w:vAlign w:val="center"/>
          </w:tcPr>
          <w:p w14:paraId="4BEF6A5E" w14:textId="77777777" w:rsidR="00C92E8D" w:rsidRDefault="00A41E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 value</w:t>
            </w:r>
          </w:p>
        </w:tc>
        <w:tc>
          <w:tcPr>
            <w:tcW w:w="2130" w:type="dxa"/>
            <w:shd w:val="clear" w:color="auto" w:fill="auto"/>
            <w:tcMar>
              <w:top w:w="0" w:type="dxa"/>
              <w:bottom w:w="0" w:type="dxa"/>
            </w:tcMar>
            <w:vAlign w:val="center"/>
          </w:tcPr>
          <w:p w14:paraId="3AD084DF"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184,800,000,000</w:t>
            </w:r>
          </w:p>
        </w:tc>
        <w:tc>
          <w:tcPr>
            <w:tcW w:w="2076" w:type="dxa"/>
            <w:shd w:val="clear" w:color="auto" w:fill="auto"/>
            <w:tcMar>
              <w:top w:w="0" w:type="dxa"/>
              <w:bottom w:w="0" w:type="dxa"/>
            </w:tcMar>
            <w:vAlign w:val="center"/>
          </w:tcPr>
          <w:p w14:paraId="6C8627FD"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182,000,000,000</w:t>
            </w:r>
          </w:p>
        </w:tc>
      </w:tr>
      <w:tr w:rsidR="00C92E8D" w14:paraId="7111FA5A" w14:textId="77777777">
        <w:tc>
          <w:tcPr>
            <w:tcW w:w="627" w:type="dxa"/>
            <w:gridSpan w:val="2"/>
            <w:shd w:val="clear" w:color="auto" w:fill="auto"/>
            <w:tcMar>
              <w:top w:w="0" w:type="dxa"/>
              <w:bottom w:w="0" w:type="dxa"/>
            </w:tcMar>
            <w:vAlign w:val="center"/>
          </w:tcPr>
          <w:p w14:paraId="63F310B6"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4184" w:type="dxa"/>
            <w:shd w:val="clear" w:color="auto" w:fill="auto"/>
            <w:tcMar>
              <w:top w:w="0" w:type="dxa"/>
              <w:bottom w:w="0" w:type="dxa"/>
            </w:tcMar>
            <w:vAlign w:val="center"/>
          </w:tcPr>
          <w:p w14:paraId="7ED50A2D" w14:textId="77777777" w:rsidR="00C92E8D" w:rsidRDefault="00A41E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 (from production, financial activities, others)</w:t>
            </w:r>
          </w:p>
        </w:tc>
        <w:tc>
          <w:tcPr>
            <w:tcW w:w="2130" w:type="dxa"/>
            <w:shd w:val="clear" w:color="auto" w:fill="auto"/>
            <w:tcMar>
              <w:top w:w="0" w:type="dxa"/>
              <w:bottom w:w="0" w:type="dxa"/>
            </w:tcMar>
            <w:vAlign w:val="center"/>
          </w:tcPr>
          <w:p w14:paraId="4DF46E69"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162,827,679,866</w:t>
            </w:r>
          </w:p>
        </w:tc>
        <w:tc>
          <w:tcPr>
            <w:tcW w:w="2076" w:type="dxa"/>
            <w:shd w:val="clear" w:color="auto" w:fill="auto"/>
            <w:tcMar>
              <w:top w:w="0" w:type="dxa"/>
              <w:bottom w:w="0" w:type="dxa"/>
            </w:tcMar>
            <w:vAlign w:val="center"/>
          </w:tcPr>
          <w:p w14:paraId="353C9AF8"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126,000,000,000</w:t>
            </w:r>
          </w:p>
        </w:tc>
      </w:tr>
      <w:tr w:rsidR="00C92E8D" w14:paraId="45E7E2F3" w14:textId="77777777">
        <w:tc>
          <w:tcPr>
            <w:tcW w:w="627" w:type="dxa"/>
            <w:gridSpan w:val="2"/>
            <w:shd w:val="clear" w:color="auto" w:fill="auto"/>
            <w:tcMar>
              <w:top w:w="0" w:type="dxa"/>
              <w:bottom w:w="0" w:type="dxa"/>
            </w:tcMar>
            <w:vAlign w:val="center"/>
          </w:tcPr>
          <w:p w14:paraId="59BE3BDD"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4184" w:type="dxa"/>
            <w:shd w:val="clear" w:color="auto" w:fill="auto"/>
            <w:tcMar>
              <w:top w:w="0" w:type="dxa"/>
              <w:bottom w:w="0" w:type="dxa"/>
            </w:tcMar>
            <w:vAlign w:val="center"/>
          </w:tcPr>
          <w:p w14:paraId="720B8026" w14:textId="77777777" w:rsidR="00C92E8D" w:rsidRDefault="00A41E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Accounting profit before tax</w:t>
            </w:r>
          </w:p>
        </w:tc>
        <w:tc>
          <w:tcPr>
            <w:tcW w:w="2130" w:type="dxa"/>
            <w:shd w:val="clear" w:color="auto" w:fill="auto"/>
            <w:tcMar>
              <w:top w:w="0" w:type="dxa"/>
              <w:bottom w:w="0" w:type="dxa"/>
            </w:tcMar>
            <w:vAlign w:val="center"/>
          </w:tcPr>
          <w:p w14:paraId="3E401D1A"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12,179,382,088</w:t>
            </w:r>
          </w:p>
        </w:tc>
        <w:tc>
          <w:tcPr>
            <w:tcW w:w="2076" w:type="dxa"/>
            <w:shd w:val="clear" w:color="auto" w:fill="auto"/>
            <w:tcMar>
              <w:top w:w="0" w:type="dxa"/>
              <w:bottom w:w="0" w:type="dxa"/>
            </w:tcMar>
            <w:vAlign w:val="center"/>
          </w:tcPr>
          <w:p w14:paraId="3CA94C7B"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8,500,000,000</w:t>
            </w:r>
          </w:p>
        </w:tc>
      </w:tr>
      <w:tr w:rsidR="00C92E8D" w14:paraId="49904FE5" w14:textId="77777777">
        <w:tc>
          <w:tcPr>
            <w:tcW w:w="627" w:type="dxa"/>
            <w:gridSpan w:val="2"/>
            <w:shd w:val="clear" w:color="auto" w:fill="auto"/>
            <w:tcMar>
              <w:top w:w="0" w:type="dxa"/>
              <w:bottom w:w="0" w:type="dxa"/>
            </w:tcMar>
            <w:vAlign w:val="center"/>
          </w:tcPr>
          <w:p w14:paraId="6BFA5D11"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4184" w:type="dxa"/>
            <w:shd w:val="clear" w:color="auto" w:fill="auto"/>
            <w:tcMar>
              <w:top w:w="0" w:type="dxa"/>
              <w:bottom w:w="0" w:type="dxa"/>
            </w:tcMar>
            <w:vAlign w:val="center"/>
          </w:tcPr>
          <w:p w14:paraId="7ED13861" w14:textId="77777777" w:rsidR="00C92E8D" w:rsidRDefault="00A41E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2130" w:type="dxa"/>
            <w:shd w:val="clear" w:color="auto" w:fill="auto"/>
            <w:tcMar>
              <w:top w:w="0" w:type="dxa"/>
              <w:bottom w:w="0" w:type="dxa"/>
            </w:tcMar>
            <w:vAlign w:val="center"/>
          </w:tcPr>
          <w:p w14:paraId="3B6CCDF6"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9,412,061,086</w:t>
            </w:r>
          </w:p>
        </w:tc>
        <w:tc>
          <w:tcPr>
            <w:tcW w:w="2076" w:type="dxa"/>
            <w:shd w:val="clear" w:color="auto" w:fill="auto"/>
            <w:tcMar>
              <w:top w:w="0" w:type="dxa"/>
              <w:bottom w:w="0" w:type="dxa"/>
            </w:tcMar>
            <w:vAlign w:val="center"/>
          </w:tcPr>
          <w:p w14:paraId="58261F6C" w14:textId="77777777" w:rsidR="00C92E8D" w:rsidRDefault="00C92E8D">
            <w:pPr>
              <w:tabs>
                <w:tab w:val="left" w:pos="432"/>
              </w:tabs>
              <w:spacing w:after="120" w:line="360" w:lineRule="auto"/>
              <w:jc w:val="center"/>
              <w:rPr>
                <w:rFonts w:ascii="Arial" w:eastAsia="Arial" w:hAnsi="Arial" w:cs="Arial"/>
                <w:color w:val="010000"/>
                <w:sz w:val="20"/>
                <w:szCs w:val="20"/>
              </w:rPr>
            </w:pPr>
          </w:p>
        </w:tc>
      </w:tr>
      <w:tr w:rsidR="00C92E8D" w14:paraId="6419AAD2" w14:textId="77777777">
        <w:tc>
          <w:tcPr>
            <w:tcW w:w="627" w:type="dxa"/>
            <w:gridSpan w:val="2"/>
            <w:shd w:val="clear" w:color="auto" w:fill="auto"/>
            <w:tcMar>
              <w:top w:w="0" w:type="dxa"/>
              <w:bottom w:w="0" w:type="dxa"/>
            </w:tcMar>
            <w:vAlign w:val="center"/>
          </w:tcPr>
          <w:p w14:paraId="4055DFFB"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4184" w:type="dxa"/>
            <w:shd w:val="clear" w:color="auto" w:fill="auto"/>
            <w:tcMar>
              <w:top w:w="0" w:type="dxa"/>
              <w:bottom w:w="0" w:type="dxa"/>
            </w:tcMar>
            <w:vAlign w:val="center"/>
          </w:tcPr>
          <w:p w14:paraId="397E6737" w14:textId="77777777" w:rsidR="00C92E8D" w:rsidRDefault="00A41E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 distribution plan:</w:t>
            </w:r>
          </w:p>
        </w:tc>
        <w:tc>
          <w:tcPr>
            <w:tcW w:w="2130" w:type="dxa"/>
            <w:shd w:val="clear" w:color="auto" w:fill="auto"/>
            <w:tcMar>
              <w:top w:w="0" w:type="dxa"/>
              <w:bottom w:w="0" w:type="dxa"/>
            </w:tcMar>
            <w:vAlign w:val="center"/>
          </w:tcPr>
          <w:p w14:paraId="414A8A50"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9,412,061,086</w:t>
            </w:r>
          </w:p>
        </w:tc>
        <w:tc>
          <w:tcPr>
            <w:tcW w:w="2076" w:type="dxa"/>
            <w:shd w:val="clear" w:color="auto" w:fill="auto"/>
            <w:tcMar>
              <w:top w:w="0" w:type="dxa"/>
              <w:bottom w:w="0" w:type="dxa"/>
            </w:tcMar>
            <w:vAlign w:val="center"/>
          </w:tcPr>
          <w:p w14:paraId="63A8F707" w14:textId="77777777" w:rsidR="00C92E8D" w:rsidRDefault="00C92E8D">
            <w:pPr>
              <w:tabs>
                <w:tab w:val="left" w:pos="432"/>
              </w:tabs>
              <w:spacing w:after="120" w:line="360" w:lineRule="auto"/>
              <w:jc w:val="center"/>
              <w:rPr>
                <w:rFonts w:ascii="Arial" w:eastAsia="Arial" w:hAnsi="Arial" w:cs="Arial"/>
                <w:color w:val="010000"/>
                <w:sz w:val="20"/>
                <w:szCs w:val="20"/>
              </w:rPr>
            </w:pPr>
          </w:p>
        </w:tc>
      </w:tr>
      <w:tr w:rsidR="00C92E8D" w14:paraId="109102B0" w14:textId="77777777">
        <w:tc>
          <w:tcPr>
            <w:tcW w:w="627" w:type="dxa"/>
            <w:gridSpan w:val="2"/>
            <w:shd w:val="clear" w:color="auto" w:fill="auto"/>
            <w:tcMar>
              <w:top w:w="0" w:type="dxa"/>
              <w:bottom w:w="0" w:type="dxa"/>
            </w:tcMar>
            <w:vAlign w:val="center"/>
          </w:tcPr>
          <w:p w14:paraId="47BB2DFA" w14:textId="77777777" w:rsidR="00C92E8D" w:rsidRDefault="00C92E8D">
            <w:pPr>
              <w:tabs>
                <w:tab w:val="left" w:pos="432"/>
              </w:tabs>
              <w:spacing w:after="120" w:line="360" w:lineRule="auto"/>
              <w:jc w:val="center"/>
              <w:rPr>
                <w:rFonts w:ascii="Arial" w:eastAsia="Arial" w:hAnsi="Arial" w:cs="Arial"/>
                <w:color w:val="010000"/>
                <w:sz w:val="20"/>
                <w:szCs w:val="20"/>
              </w:rPr>
            </w:pPr>
          </w:p>
        </w:tc>
        <w:tc>
          <w:tcPr>
            <w:tcW w:w="4184" w:type="dxa"/>
            <w:shd w:val="clear" w:color="auto" w:fill="auto"/>
            <w:tcMar>
              <w:top w:w="0" w:type="dxa"/>
              <w:bottom w:w="0" w:type="dxa"/>
            </w:tcMar>
            <w:vAlign w:val="center"/>
          </w:tcPr>
          <w:p w14:paraId="72DFBB0A" w14:textId="77777777" w:rsidR="00C92E8D" w:rsidRDefault="00A41E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funds:</w:t>
            </w:r>
          </w:p>
        </w:tc>
        <w:tc>
          <w:tcPr>
            <w:tcW w:w="2130" w:type="dxa"/>
            <w:shd w:val="clear" w:color="auto" w:fill="auto"/>
            <w:tcMar>
              <w:top w:w="0" w:type="dxa"/>
              <w:bottom w:w="0" w:type="dxa"/>
            </w:tcMar>
            <w:vAlign w:val="center"/>
          </w:tcPr>
          <w:p w14:paraId="0C176C11" w14:textId="77777777" w:rsidR="00C92E8D" w:rsidRDefault="00C92E8D">
            <w:pPr>
              <w:tabs>
                <w:tab w:val="left" w:pos="432"/>
              </w:tabs>
              <w:spacing w:after="120" w:line="360" w:lineRule="auto"/>
              <w:jc w:val="center"/>
              <w:rPr>
                <w:rFonts w:ascii="Arial" w:eastAsia="Arial" w:hAnsi="Arial" w:cs="Arial"/>
                <w:color w:val="010000"/>
                <w:sz w:val="20"/>
                <w:szCs w:val="20"/>
              </w:rPr>
            </w:pPr>
          </w:p>
        </w:tc>
        <w:tc>
          <w:tcPr>
            <w:tcW w:w="2076" w:type="dxa"/>
            <w:shd w:val="clear" w:color="auto" w:fill="auto"/>
            <w:tcMar>
              <w:top w:w="0" w:type="dxa"/>
              <w:bottom w:w="0" w:type="dxa"/>
            </w:tcMar>
            <w:vAlign w:val="center"/>
          </w:tcPr>
          <w:p w14:paraId="79997E59" w14:textId="77777777" w:rsidR="00C92E8D" w:rsidRDefault="00C92E8D">
            <w:pPr>
              <w:tabs>
                <w:tab w:val="left" w:pos="432"/>
              </w:tabs>
              <w:spacing w:after="120" w:line="360" w:lineRule="auto"/>
              <w:jc w:val="center"/>
              <w:rPr>
                <w:rFonts w:ascii="Arial" w:eastAsia="Arial" w:hAnsi="Arial" w:cs="Arial"/>
                <w:color w:val="010000"/>
                <w:sz w:val="20"/>
                <w:szCs w:val="20"/>
              </w:rPr>
            </w:pPr>
          </w:p>
        </w:tc>
      </w:tr>
      <w:tr w:rsidR="00C92E8D" w14:paraId="6E377FDA" w14:textId="77777777">
        <w:tc>
          <w:tcPr>
            <w:tcW w:w="627" w:type="dxa"/>
            <w:gridSpan w:val="2"/>
            <w:shd w:val="clear" w:color="auto" w:fill="auto"/>
            <w:tcMar>
              <w:top w:w="0" w:type="dxa"/>
              <w:bottom w:w="0" w:type="dxa"/>
            </w:tcMar>
            <w:vAlign w:val="center"/>
          </w:tcPr>
          <w:p w14:paraId="2620D236" w14:textId="77777777" w:rsidR="00C92E8D" w:rsidRDefault="00C92E8D">
            <w:pPr>
              <w:tabs>
                <w:tab w:val="left" w:pos="432"/>
              </w:tabs>
              <w:spacing w:after="120" w:line="360" w:lineRule="auto"/>
              <w:jc w:val="center"/>
              <w:rPr>
                <w:rFonts w:ascii="Arial" w:eastAsia="Arial" w:hAnsi="Arial" w:cs="Arial"/>
                <w:color w:val="010000"/>
                <w:sz w:val="20"/>
                <w:szCs w:val="20"/>
              </w:rPr>
            </w:pPr>
          </w:p>
        </w:tc>
        <w:tc>
          <w:tcPr>
            <w:tcW w:w="4184" w:type="dxa"/>
            <w:shd w:val="clear" w:color="auto" w:fill="auto"/>
            <w:tcMar>
              <w:top w:w="0" w:type="dxa"/>
              <w:bottom w:w="0" w:type="dxa"/>
            </w:tcMar>
            <w:vAlign w:val="center"/>
          </w:tcPr>
          <w:p w14:paraId="542D24E7" w14:textId="77777777" w:rsidR="00C92E8D" w:rsidRDefault="00A41E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and welfare fund (35%)</w:t>
            </w:r>
          </w:p>
        </w:tc>
        <w:tc>
          <w:tcPr>
            <w:tcW w:w="2130" w:type="dxa"/>
            <w:shd w:val="clear" w:color="auto" w:fill="auto"/>
            <w:tcMar>
              <w:top w:w="0" w:type="dxa"/>
              <w:bottom w:w="0" w:type="dxa"/>
            </w:tcMar>
            <w:vAlign w:val="center"/>
          </w:tcPr>
          <w:p w14:paraId="62ED901A"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3,294,858,032</w:t>
            </w:r>
          </w:p>
        </w:tc>
        <w:tc>
          <w:tcPr>
            <w:tcW w:w="2076" w:type="dxa"/>
            <w:shd w:val="clear" w:color="auto" w:fill="auto"/>
            <w:tcMar>
              <w:top w:w="0" w:type="dxa"/>
              <w:bottom w:w="0" w:type="dxa"/>
            </w:tcMar>
            <w:vAlign w:val="center"/>
          </w:tcPr>
          <w:p w14:paraId="4EBE1BA6" w14:textId="77777777" w:rsidR="00C92E8D" w:rsidRDefault="00C92E8D">
            <w:pPr>
              <w:tabs>
                <w:tab w:val="left" w:pos="432"/>
              </w:tabs>
              <w:spacing w:after="120" w:line="360" w:lineRule="auto"/>
              <w:jc w:val="center"/>
              <w:rPr>
                <w:rFonts w:ascii="Arial" w:eastAsia="Arial" w:hAnsi="Arial" w:cs="Arial"/>
                <w:color w:val="010000"/>
                <w:sz w:val="20"/>
                <w:szCs w:val="20"/>
              </w:rPr>
            </w:pPr>
          </w:p>
        </w:tc>
      </w:tr>
      <w:tr w:rsidR="00C92E8D" w14:paraId="40B35BC4" w14:textId="77777777">
        <w:tc>
          <w:tcPr>
            <w:tcW w:w="602" w:type="dxa"/>
            <w:shd w:val="clear" w:color="auto" w:fill="auto"/>
            <w:tcMar>
              <w:top w:w="0" w:type="dxa"/>
              <w:bottom w:w="0" w:type="dxa"/>
            </w:tcMar>
            <w:vAlign w:val="center"/>
          </w:tcPr>
          <w:p w14:paraId="6230B226" w14:textId="77777777" w:rsidR="00C92E8D" w:rsidRDefault="00C92E8D">
            <w:pPr>
              <w:tabs>
                <w:tab w:val="left" w:pos="432"/>
              </w:tabs>
              <w:spacing w:after="120" w:line="360" w:lineRule="auto"/>
              <w:jc w:val="center"/>
              <w:rPr>
                <w:rFonts w:ascii="Arial" w:eastAsia="Arial" w:hAnsi="Arial" w:cs="Arial"/>
                <w:color w:val="010000"/>
                <w:sz w:val="20"/>
                <w:szCs w:val="20"/>
              </w:rPr>
            </w:pPr>
          </w:p>
        </w:tc>
        <w:tc>
          <w:tcPr>
            <w:tcW w:w="4209" w:type="dxa"/>
            <w:gridSpan w:val="2"/>
            <w:shd w:val="clear" w:color="auto" w:fill="auto"/>
            <w:tcMar>
              <w:top w:w="0" w:type="dxa"/>
              <w:bottom w:w="0" w:type="dxa"/>
            </w:tcMar>
            <w:vAlign w:val="center"/>
          </w:tcPr>
          <w:p w14:paraId="012F41A3" w14:textId="77777777" w:rsidR="00C92E8D" w:rsidRDefault="00A41E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fund for the Company's Executive Management Board (5%)</w:t>
            </w:r>
          </w:p>
        </w:tc>
        <w:tc>
          <w:tcPr>
            <w:tcW w:w="2130" w:type="dxa"/>
            <w:shd w:val="clear" w:color="auto" w:fill="auto"/>
            <w:tcMar>
              <w:top w:w="0" w:type="dxa"/>
              <w:bottom w:w="0" w:type="dxa"/>
            </w:tcMar>
            <w:vAlign w:val="center"/>
          </w:tcPr>
          <w:p w14:paraId="0CF5B7ED"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470,603,054</w:t>
            </w:r>
          </w:p>
        </w:tc>
        <w:tc>
          <w:tcPr>
            <w:tcW w:w="2076" w:type="dxa"/>
            <w:shd w:val="clear" w:color="auto" w:fill="auto"/>
            <w:tcMar>
              <w:top w:w="0" w:type="dxa"/>
              <w:bottom w:w="0" w:type="dxa"/>
            </w:tcMar>
            <w:vAlign w:val="center"/>
          </w:tcPr>
          <w:p w14:paraId="499DAAEE" w14:textId="77777777" w:rsidR="00C92E8D" w:rsidRDefault="00C92E8D">
            <w:pPr>
              <w:tabs>
                <w:tab w:val="left" w:pos="432"/>
              </w:tabs>
              <w:spacing w:after="120" w:line="360" w:lineRule="auto"/>
              <w:jc w:val="center"/>
              <w:rPr>
                <w:rFonts w:ascii="Arial" w:eastAsia="Arial" w:hAnsi="Arial" w:cs="Arial"/>
                <w:color w:val="010000"/>
                <w:sz w:val="20"/>
                <w:szCs w:val="20"/>
              </w:rPr>
            </w:pPr>
          </w:p>
        </w:tc>
      </w:tr>
      <w:tr w:rsidR="00C92E8D" w14:paraId="436C0B60" w14:textId="77777777">
        <w:tc>
          <w:tcPr>
            <w:tcW w:w="602" w:type="dxa"/>
            <w:shd w:val="clear" w:color="auto" w:fill="auto"/>
            <w:tcMar>
              <w:top w:w="0" w:type="dxa"/>
              <w:bottom w:w="0" w:type="dxa"/>
            </w:tcMar>
            <w:vAlign w:val="center"/>
          </w:tcPr>
          <w:p w14:paraId="3BD4548E" w14:textId="77777777" w:rsidR="00C92E8D" w:rsidRDefault="00C92E8D">
            <w:pPr>
              <w:tabs>
                <w:tab w:val="left" w:pos="432"/>
              </w:tabs>
              <w:spacing w:after="120" w:line="360" w:lineRule="auto"/>
              <w:jc w:val="center"/>
              <w:rPr>
                <w:rFonts w:ascii="Arial" w:eastAsia="Arial" w:hAnsi="Arial" w:cs="Arial"/>
                <w:color w:val="010000"/>
                <w:sz w:val="20"/>
                <w:szCs w:val="20"/>
              </w:rPr>
            </w:pPr>
          </w:p>
        </w:tc>
        <w:tc>
          <w:tcPr>
            <w:tcW w:w="4209" w:type="dxa"/>
            <w:gridSpan w:val="2"/>
            <w:shd w:val="clear" w:color="auto" w:fill="auto"/>
            <w:tcMar>
              <w:top w:w="0" w:type="dxa"/>
              <w:bottom w:w="0" w:type="dxa"/>
            </w:tcMar>
            <w:vAlign w:val="center"/>
          </w:tcPr>
          <w:p w14:paraId="5BBCAA12" w14:textId="77777777" w:rsidR="00C92E8D" w:rsidRDefault="00A41E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payout (60%)</w:t>
            </w:r>
          </w:p>
        </w:tc>
        <w:tc>
          <w:tcPr>
            <w:tcW w:w="2130" w:type="dxa"/>
            <w:shd w:val="clear" w:color="auto" w:fill="auto"/>
            <w:tcMar>
              <w:top w:w="0" w:type="dxa"/>
              <w:bottom w:w="0" w:type="dxa"/>
            </w:tcMar>
            <w:vAlign w:val="center"/>
          </w:tcPr>
          <w:p w14:paraId="6FD55040"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5,646,600,000</w:t>
            </w:r>
          </w:p>
        </w:tc>
        <w:tc>
          <w:tcPr>
            <w:tcW w:w="2076" w:type="dxa"/>
            <w:shd w:val="clear" w:color="auto" w:fill="auto"/>
            <w:tcMar>
              <w:top w:w="0" w:type="dxa"/>
              <w:bottom w:w="0" w:type="dxa"/>
            </w:tcMar>
            <w:vAlign w:val="center"/>
          </w:tcPr>
          <w:p w14:paraId="65748DAD" w14:textId="77777777" w:rsidR="00C92E8D" w:rsidRDefault="00C92E8D">
            <w:pPr>
              <w:tabs>
                <w:tab w:val="left" w:pos="432"/>
              </w:tabs>
              <w:spacing w:after="120" w:line="360" w:lineRule="auto"/>
              <w:jc w:val="center"/>
              <w:rPr>
                <w:rFonts w:ascii="Arial" w:eastAsia="Arial" w:hAnsi="Arial" w:cs="Arial"/>
                <w:color w:val="010000"/>
                <w:sz w:val="20"/>
                <w:szCs w:val="20"/>
              </w:rPr>
            </w:pPr>
          </w:p>
        </w:tc>
      </w:tr>
      <w:tr w:rsidR="00C92E8D" w14:paraId="300DB059" w14:textId="77777777">
        <w:tc>
          <w:tcPr>
            <w:tcW w:w="602" w:type="dxa"/>
            <w:shd w:val="clear" w:color="auto" w:fill="auto"/>
            <w:tcMar>
              <w:top w:w="0" w:type="dxa"/>
              <w:bottom w:w="0" w:type="dxa"/>
            </w:tcMar>
            <w:vAlign w:val="center"/>
          </w:tcPr>
          <w:p w14:paraId="22FD4070" w14:textId="77777777" w:rsidR="00C92E8D" w:rsidRDefault="00C92E8D">
            <w:pPr>
              <w:tabs>
                <w:tab w:val="left" w:pos="432"/>
              </w:tabs>
              <w:spacing w:after="120" w:line="360" w:lineRule="auto"/>
              <w:jc w:val="center"/>
              <w:rPr>
                <w:rFonts w:ascii="Arial" w:eastAsia="Arial" w:hAnsi="Arial" w:cs="Arial"/>
                <w:color w:val="010000"/>
                <w:sz w:val="20"/>
                <w:szCs w:val="20"/>
              </w:rPr>
            </w:pPr>
          </w:p>
        </w:tc>
        <w:tc>
          <w:tcPr>
            <w:tcW w:w="4209" w:type="dxa"/>
            <w:gridSpan w:val="2"/>
            <w:shd w:val="clear" w:color="auto" w:fill="auto"/>
            <w:tcMar>
              <w:top w:w="0" w:type="dxa"/>
              <w:bottom w:w="0" w:type="dxa"/>
            </w:tcMar>
            <w:vAlign w:val="center"/>
          </w:tcPr>
          <w:p w14:paraId="689DC501" w14:textId="77777777" w:rsidR="00C92E8D" w:rsidRDefault="00A41E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which:</w:t>
            </w:r>
          </w:p>
        </w:tc>
        <w:tc>
          <w:tcPr>
            <w:tcW w:w="2130" w:type="dxa"/>
            <w:shd w:val="clear" w:color="auto" w:fill="auto"/>
            <w:tcMar>
              <w:top w:w="0" w:type="dxa"/>
              <w:bottom w:w="0" w:type="dxa"/>
            </w:tcMar>
            <w:vAlign w:val="center"/>
          </w:tcPr>
          <w:p w14:paraId="079B99AC" w14:textId="77777777" w:rsidR="00C92E8D" w:rsidRDefault="00C92E8D">
            <w:pPr>
              <w:tabs>
                <w:tab w:val="left" w:pos="432"/>
              </w:tabs>
              <w:spacing w:after="120" w:line="360" w:lineRule="auto"/>
              <w:jc w:val="center"/>
              <w:rPr>
                <w:rFonts w:ascii="Arial" w:eastAsia="Arial" w:hAnsi="Arial" w:cs="Arial"/>
                <w:color w:val="010000"/>
                <w:sz w:val="20"/>
                <w:szCs w:val="20"/>
              </w:rPr>
            </w:pPr>
          </w:p>
        </w:tc>
        <w:tc>
          <w:tcPr>
            <w:tcW w:w="2076" w:type="dxa"/>
            <w:shd w:val="clear" w:color="auto" w:fill="auto"/>
            <w:tcMar>
              <w:top w:w="0" w:type="dxa"/>
              <w:bottom w:w="0" w:type="dxa"/>
            </w:tcMar>
            <w:vAlign w:val="center"/>
          </w:tcPr>
          <w:p w14:paraId="77631AF2" w14:textId="77777777" w:rsidR="00C92E8D" w:rsidRDefault="00C92E8D">
            <w:pPr>
              <w:tabs>
                <w:tab w:val="left" w:pos="432"/>
              </w:tabs>
              <w:spacing w:after="120" w:line="360" w:lineRule="auto"/>
              <w:jc w:val="center"/>
              <w:rPr>
                <w:rFonts w:ascii="Arial" w:eastAsia="Arial" w:hAnsi="Arial" w:cs="Arial"/>
                <w:color w:val="010000"/>
                <w:sz w:val="20"/>
                <w:szCs w:val="20"/>
              </w:rPr>
            </w:pPr>
          </w:p>
        </w:tc>
      </w:tr>
      <w:tr w:rsidR="00C92E8D" w14:paraId="18B20598" w14:textId="77777777">
        <w:tc>
          <w:tcPr>
            <w:tcW w:w="602" w:type="dxa"/>
            <w:shd w:val="clear" w:color="auto" w:fill="auto"/>
            <w:tcMar>
              <w:top w:w="0" w:type="dxa"/>
              <w:bottom w:w="0" w:type="dxa"/>
            </w:tcMar>
            <w:vAlign w:val="center"/>
          </w:tcPr>
          <w:p w14:paraId="183318AE" w14:textId="77777777" w:rsidR="00C92E8D" w:rsidRDefault="00C92E8D">
            <w:pPr>
              <w:tabs>
                <w:tab w:val="left" w:pos="432"/>
              </w:tabs>
              <w:spacing w:after="120" w:line="360" w:lineRule="auto"/>
              <w:jc w:val="center"/>
              <w:rPr>
                <w:rFonts w:ascii="Arial" w:eastAsia="Arial" w:hAnsi="Arial" w:cs="Arial"/>
                <w:color w:val="010000"/>
                <w:sz w:val="20"/>
                <w:szCs w:val="20"/>
              </w:rPr>
            </w:pPr>
          </w:p>
        </w:tc>
        <w:tc>
          <w:tcPr>
            <w:tcW w:w="4209" w:type="dxa"/>
            <w:gridSpan w:val="2"/>
            <w:shd w:val="clear" w:color="auto" w:fill="auto"/>
            <w:tcMar>
              <w:top w:w="0" w:type="dxa"/>
              <w:bottom w:w="0" w:type="dxa"/>
            </w:tcMar>
            <w:vAlign w:val="center"/>
          </w:tcPr>
          <w:p w14:paraId="7B469696" w14:textId="77777777" w:rsidR="00C92E8D" w:rsidRDefault="00A41E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VNCC shareholders (51%)</w:t>
            </w:r>
          </w:p>
        </w:tc>
        <w:tc>
          <w:tcPr>
            <w:tcW w:w="2130" w:type="dxa"/>
            <w:shd w:val="clear" w:color="auto" w:fill="auto"/>
            <w:tcMar>
              <w:top w:w="0" w:type="dxa"/>
              <w:bottom w:w="0" w:type="dxa"/>
            </w:tcMar>
            <w:vAlign w:val="center"/>
          </w:tcPr>
          <w:p w14:paraId="5E0BEE5A"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2,879,766,000</w:t>
            </w:r>
          </w:p>
        </w:tc>
        <w:tc>
          <w:tcPr>
            <w:tcW w:w="2076" w:type="dxa"/>
            <w:shd w:val="clear" w:color="auto" w:fill="auto"/>
            <w:tcMar>
              <w:top w:w="0" w:type="dxa"/>
              <w:bottom w:w="0" w:type="dxa"/>
            </w:tcMar>
            <w:vAlign w:val="center"/>
          </w:tcPr>
          <w:p w14:paraId="0AC3E843" w14:textId="77777777" w:rsidR="00C92E8D" w:rsidRDefault="00C92E8D">
            <w:pPr>
              <w:tabs>
                <w:tab w:val="left" w:pos="432"/>
              </w:tabs>
              <w:spacing w:after="120" w:line="360" w:lineRule="auto"/>
              <w:jc w:val="center"/>
              <w:rPr>
                <w:rFonts w:ascii="Arial" w:eastAsia="Arial" w:hAnsi="Arial" w:cs="Arial"/>
                <w:color w:val="010000"/>
                <w:sz w:val="20"/>
                <w:szCs w:val="20"/>
              </w:rPr>
            </w:pPr>
          </w:p>
        </w:tc>
      </w:tr>
      <w:tr w:rsidR="00C92E8D" w14:paraId="2403D710" w14:textId="77777777">
        <w:tc>
          <w:tcPr>
            <w:tcW w:w="602" w:type="dxa"/>
            <w:shd w:val="clear" w:color="auto" w:fill="auto"/>
            <w:tcMar>
              <w:top w:w="0" w:type="dxa"/>
              <w:bottom w:w="0" w:type="dxa"/>
            </w:tcMar>
            <w:vAlign w:val="center"/>
          </w:tcPr>
          <w:p w14:paraId="008D54FD" w14:textId="77777777" w:rsidR="00C92E8D" w:rsidRDefault="00C92E8D">
            <w:pPr>
              <w:tabs>
                <w:tab w:val="left" w:pos="432"/>
              </w:tabs>
              <w:spacing w:after="120" w:line="360" w:lineRule="auto"/>
              <w:jc w:val="center"/>
              <w:rPr>
                <w:rFonts w:ascii="Arial" w:eastAsia="Arial" w:hAnsi="Arial" w:cs="Arial"/>
                <w:color w:val="010000"/>
                <w:sz w:val="20"/>
                <w:szCs w:val="20"/>
              </w:rPr>
            </w:pPr>
          </w:p>
        </w:tc>
        <w:tc>
          <w:tcPr>
            <w:tcW w:w="4209" w:type="dxa"/>
            <w:gridSpan w:val="2"/>
            <w:shd w:val="clear" w:color="auto" w:fill="auto"/>
            <w:tcMar>
              <w:top w:w="0" w:type="dxa"/>
              <w:bottom w:w="0" w:type="dxa"/>
            </w:tcMar>
            <w:vAlign w:val="center"/>
          </w:tcPr>
          <w:p w14:paraId="49022D4D" w14:textId="77777777" w:rsidR="00C92E8D" w:rsidRDefault="00A41E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Other shareholders (49%)</w:t>
            </w:r>
          </w:p>
        </w:tc>
        <w:tc>
          <w:tcPr>
            <w:tcW w:w="2130" w:type="dxa"/>
            <w:shd w:val="clear" w:color="auto" w:fill="auto"/>
            <w:tcMar>
              <w:top w:w="0" w:type="dxa"/>
              <w:bottom w:w="0" w:type="dxa"/>
            </w:tcMar>
            <w:vAlign w:val="center"/>
          </w:tcPr>
          <w:p w14:paraId="7390B012"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2,766,834,000</w:t>
            </w:r>
          </w:p>
        </w:tc>
        <w:tc>
          <w:tcPr>
            <w:tcW w:w="2076" w:type="dxa"/>
            <w:shd w:val="clear" w:color="auto" w:fill="auto"/>
            <w:tcMar>
              <w:top w:w="0" w:type="dxa"/>
              <w:bottom w:w="0" w:type="dxa"/>
            </w:tcMar>
            <w:vAlign w:val="center"/>
          </w:tcPr>
          <w:p w14:paraId="10BFAAB0" w14:textId="77777777" w:rsidR="00C92E8D" w:rsidRDefault="00C92E8D">
            <w:pPr>
              <w:tabs>
                <w:tab w:val="left" w:pos="432"/>
              </w:tabs>
              <w:spacing w:after="120" w:line="360" w:lineRule="auto"/>
              <w:jc w:val="center"/>
              <w:rPr>
                <w:rFonts w:ascii="Arial" w:eastAsia="Arial" w:hAnsi="Arial" w:cs="Arial"/>
                <w:color w:val="010000"/>
                <w:sz w:val="20"/>
                <w:szCs w:val="20"/>
              </w:rPr>
            </w:pPr>
          </w:p>
        </w:tc>
      </w:tr>
    </w:tbl>
    <w:p w14:paraId="425E5256" w14:textId="77777777" w:rsidR="00C92E8D" w:rsidRPr="006314B7" w:rsidRDefault="00A41E79">
      <w:pPr>
        <w:keepNext/>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Pr>
          <w:rFonts w:ascii="Arial" w:hAnsi="Arial"/>
          <w:color w:val="010000"/>
          <w:sz w:val="20"/>
        </w:rPr>
        <w:t xml:space="preserve">II. The expected targets for production and business and distribution of profit after tax in 2024 are as </w:t>
      </w:r>
      <w:r>
        <w:rPr>
          <w:rFonts w:ascii="Arial" w:hAnsi="Arial"/>
          <w:color w:val="010000"/>
          <w:sz w:val="20"/>
        </w:rPr>
        <w:lastRenderedPageBreak/>
        <w:t>follows:</w:t>
      </w:r>
    </w:p>
    <w:p w14:paraId="378978B2" w14:textId="77777777" w:rsidR="00C92E8D" w:rsidRPr="006314B7" w:rsidRDefault="00A41E79">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314B7">
        <w:rPr>
          <w:rFonts w:ascii="Arial" w:hAnsi="Arial"/>
          <w:i/>
          <w:color w:val="010000"/>
          <w:sz w:val="20"/>
        </w:rPr>
        <w:t>Unit VND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
        <w:gridCol w:w="4341"/>
        <w:gridCol w:w="2025"/>
        <w:gridCol w:w="1821"/>
      </w:tblGrid>
      <w:tr w:rsidR="00C92E8D" w14:paraId="1F754169" w14:textId="77777777">
        <w:tc>
          <w:tcPr>
            <w:tcW w:w="830" w:type="dxa"/>
            <w:shd w:val="clear" w:color="auto" w:fill="auto"/>
            <w:tcMar>
              <w:top w:w="0" w:type="dxa"/>
              <w:bottom w:w="0" w:type="dxa"/>
            </w:tcMar>
            <w:vAlign w:val="center"/>
          </w:tcPr>
          <w:p w14:paraId="2FE81B22" w14:textId="77777777" w:rsidR="00C92E8D" w:rsidRPr="006314B7" w:rsidRDefault="00A41E79">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6314B7">
              <w:rPr>
                <w:rFonts w:ascii="Arial" w:hAnsi="Arial"/>
                <w:b/>
                <w:color w:val="010000"/>
                <w:sz w:val="20"/>
              </w:rPr>
              <w:t>No.</w:t>
            </w:r>
          </w:p>
        </w:tc>
        <w:tc>
          <w:tcPr>
            <w:tcW w:w="4341" w:type="dxa"/>
            <w:shd w:val="clear" w:color="auto" w:fill="auto"/>
            <w:tcMar>
              <w:top w:w="0" w:type="dxa"/>
              <w:bottom w:w="0" w:type="dxa"/>
            </w:tcMar>
            <w:vAlign w:val="center"/>
          </w:tcPr>
          <w:p w14:paraId="7665B25A" w14:textId="77777777" w:rsidR="00C92E8D" w:rsidRPr="006314B7" w:rsidRDefault="00A41E79">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6314B7">
              <w:rPr>
                <w:rFonts w:ascii="Arial" w:hAnsi="Arial"/>
                <w:b/>
                <w:color w:val="010000"/>
                <w:sz w:val="20"/>
              </w:rPr>
              <w:t>Target</w:t>
            </w:r>
          </w:p>
        </w:tc>
        <w:tc>
          <w:tcPr>
            <w:tcW w:w="2025" w:type="dxa"/>
            <w:shd w:val="clear" w:color="auto" w:fill="auto"/>
            <w:tcMar>
              <w:top w:w="0" w:type="dxa"/>
              <w:bottom w:w="0" w:type="dxa"/>
            </w:tcMar>
            <w:vAlign w:val="center"/>
          </w:tcPr>
          <w:p w14:paraId="36782014" w14:textId="77777777" w:rsidR="00C92E8D" w:rsidRPr="006314B7" w:rsidRDefault="00A41E79">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6314B7">
              <w:rPr>
                <w:rFonts w:ascii="Arial" w:hAnsi="Arial"/>
                <w:b/>
                <w:color w:val="010000"/>
                <w:sz w:val="20"/>
              </w:rPr>
              <w:t>Amount</w:t>
            </w:r>
          </w:p>
        </w:tc>
        <w:tc>
          <w:tcPr>
            <w:tcW w:w="1821" w:type="dxa"/>
            <w:shd w:val="clear" w:color="auto" w:fill="auto"/>
            <w:tcMar>
              <w:top w:w="0" w:type="dxa"/>
              <w:bottom w:w="0" w:type="dxa"/>
            </w:tcMar>
            <w:vAlign w:val="center"/>
          </w:tcPr>
          <w:p w14:paraId="397382FF" w14:textId="77777777" w:rsidR="00C92E8D" w:rsidRPr="006314B7" w:rsidRDefault="00A41E79">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6314B7">
              <w:rPr>
                <w:rFonts w:ascii="Arial" w:hAnsi="Arial"/>
                <w:b/>
                <w:color w:val="010000"/>
                <w:sz w:val="20"/>
              </w:rPr>
              <w:t>Note</w:t>
            </w:r>
          </w:p>
        </w:tc>
      </w:tr>
      <w:tr w:rsidR="00C92E8D" w14:paraId="003CC025" w14:textId="77777777">
        <w:tc>
          <w:tcPr>
            <w:tcW w:w="830" w:type="dxa"/>
            <w:shd w:val="clear" w:color="auto" w:fill="auto"/>
            <w:tcMar>
              <w:top w:w="0" w:type="dxa"/>
              <w:bottom w:w="0" w:type="dxa"/>
            </w:tcMar>
            <w:vAlign w:val="center"/>
          </w:tcPr>
          <w:p w14:paraId="705B2BA3" w14:textId="77777777" w:rsidR="00C92E8D" w:rsidRDefault="00A41E79" w:rsidP="00CF27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4341" w:type="dxa"/>
            <w:shd w:val="clear" w:color="auto" w:fill="auto"/>
            <w:tcMar>
              <w:top w:w="0" w:type="dxa"/>
              <w:bottom w:w="0" w:type="dxa"/>
            </w:tcMar>
            <w:vAlign w:val="center"/>
          </w:tcPr>
          <w:p w14:paraId="74A60BE4" w14:textId="77777777" w:rsidR="00C92E8D" w:rsidRDefault="00A41E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 value</w:t>
            </w:r>
          </w:p>
        </w:tc>
        <w:tc>
          <w:tcPr>
            <w:tcW w:w="2025" w:type="dxa"/>
            <w:shd w:val="clear" w:color="auto" w:fill="auto"/>
            <w:tcMar>
              <w:top w:w="0" w:type="dxa"/>
              <w:bottom w:w="0" w:type="dxa"/>
            </w:tcMar>
            <w:vAlign w:val="center"/>
          </w:tcPr>
          <w:p w14:paraId="21231773"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193,830,000,000</w:t>
            </w:r>
          </w:p>
        </w:tc>
        <w:tc>
          <w:tcPr>
            <w:tcW w:w="1821" w:type="dxa"/>
            <w:shd w:val="clear" w:color="auto" w:fill="auto"/>
            <w:tcMar>
              <w:top w:w="0" w:type="dxa"/>
              <w:bottom w:w="0" w:type="dxa"/>
            </w:tcMar>
            <w:vAlign w:val="center"/>
          </w:tcPr>
          <w:p w14:paraId="5A4766B9" w14:textId="77777777" w:rsidR="00C92E8D" w:rsidRDefault="00C92E8D">
            <w:pPr>
              <w:tabs>
                <w:tab w:val="left" w:pos="432"/>
              </w:tabs>
              <w:spacing w:after="120" w:line="360" w:lineRule="auto"/>
              <w:jc w:val="center"/>
              <w:rPr>
                <w:rFonts w:ascii="Arial" w:eastAsia="Arial" w:hAnsi="Arial" w:cs="Arial"/>
                <w:color w:val="010000"/>
                <w:sz w:val="20"/>
                <w:szCs w:val="20"/>
              </w:rPr>
            </w:pPr>
          </w:p>
        </w:tc>
      </w:tr>
      <w:tr w:rsidR="00C92E8D" w14:paraId="30829E2B" w14:textId="77777777">
        <w:tc>
          <w:tcPr>
            <w:tcW w:w="830" w:type="dxa"/>
            <w:shd w:val="clear" w:color="auto" w:fill="auto"/>
            <w:tcMar>
              <w:top w:w="0" w:type="dxa"/>
              <w:bottom w:w="0" w:type="dxa"/>
            </w:tcMar>
            <w:vAlign w:val="center"/>
          </w:tcPr>
          <w:p w14:paraId="35A4055D" w14:textId="77777777" w:rsidR="00C92E8D" w:rsidRDefault="00A41E79" w:rsidP="00CF27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4341" w:type="dxa"/>
            <w:shd w:val="clear" w:color="auto" w:fill="auto"/>
            <w:tcMar>
              <w:top w:w="0" w:type="dxa"/>
              <w:bottom w:w="0" w:type="dxa"/>
            </w:tcMar>
            <w:vAlign w:val="center"/>
          </w:tcPr>
          <w:p w14:paraId="706E83EB" w14:textId="77777777" w:rsidR="00C92E8D" w:rsidRDefault="00A41E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 (from production, financial activities, others)</w:t>
            </w:r>
          </w:p>
        </w:tc>
        <w:tc>
          <w:tcPr>
            <w:tcW w:w="2025" w:type="dxa"/>
            <w:shd w:val="clear" w:color="auto" w:fill="auto"/>
            <w:tcMar>
              <w:top w:w="0" w:type="dxa"/>
              <w:bottom w:w="0" w:type="dxa"/>
            </w:tcMar>
            <w:vAlign w:val="center"/>
          </w:tcPr>
          <w:p w14:paraId="5AC7D35E"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134,200,000,000</w:t>
            </w:r>
          </w:p>
        </w:tc>
        <w:tc>
          <w:tcPr>
            <w:tcW w:w="1821" w:type="dxa"/>
            <w:shd w:val="clear" w:color="auto" w:fill="auto"/>
            <w:tcMar>
              <w:top w:w="0" w:type="dxa"/>
              <w:bottom w:w="0" w:type="dxa"/>
            </w:tcMar>
            <w:vAlign w:val="center"/>
          </w:tcPr>
          <w:p w14:paraId="3F04A6DF" w14:textId="77777777" w:rsidR="00C92E8D" w:rsidRDefault="00C92E8D">
            <w:pPr>
              <w:tabs>
                <w:tab w:val="left" w:pos="432"/>
              </w:tabs>
              <w:spacing w:after="120" w:line="360" w:lineRule="auto"/>
              <w:jc w:val="center"/>
              <w:rPr>
                <w:rFonts w:ascii="Arial" w:eastAsia="Arial" w:hAnsi="Arial" w:cs="Arial"/>
                <w:color w:val="010000"/>
                <w:sz w:val="20"/>
                <w:szCs w:val="20"/>
              </w:rPr>
            </w:pPr>
          </w:p>
        </w:tc>
      </w:tr>
      <w:tr w:rsidR="00C92E8D" w14:paraId="089377DA" w14:textId="77777777">
        <w:tc>
          <w:tcPr>
            <w:tcW w:w="830" w:type="dxa"/>
            <w:shd w:val="clear" w:color="auto" w:fill="auto"/>
            <w:tcMar>
              <w:top w:w="0" w:type="dxa"/>
              <w:bottom w:w="0" w:type="dxa"/>
            </w:tcMar>
            <w:vAlign w:val="center"/>
          </w:tcPr>
          <w:p w14:paraId="1DFA9357" w14:textId="77777777" w:rsidR="00C92E8D" w:rsidRDefault="00A41E79" w:rsidP="00CF27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4341" w:type="dxa"/>
            <w:shd w:val="clear" w:color="auto" w:fill="auto"/>
            <w:tcMar>
              <w:top w:w="0" w:type="dxa"/>
              <w:bottom w:w="0" w:type="dxa"/>
            </w:tcMar>
            <w:vAlign w:val="center"/>
          </w:tcPr>
          <w:p w14:paraId="30F34187" w14:textId="77777777" w:rsidR="00C92E8D" w:rsidRDefault="00A41E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Accounting profit before tax</w:t>
            </w:r>
          </w:p>
        </w:tc>
        <w:tc>
          <w:tcPr>
            <w:tcW w:w="2025" w:type="dxa"/>
            <w:shd w:val="clear" w:color="auto" w:fill="auto"/>
            <w:tcMar>
              <w:top w:w="0" w:type="dxa"/>
              <w:bottom w:w="0" w:type="dxa"/>
            </w:tcMar>
            <w:vAlign w:val="center"/>
          </w:tcPr>
          <w:p w14:paraId="7F25B879"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9,050,000,000</w:t>
            </w:r>
          </w:p>
        </w:tc>
        <w:tc>
          <w:tcPr>
            <w:tcW w:w="1821" w:type="dxa"/>
            <w:shd w:val="clear" w:color="auto" w:fill="auto"/>
            <w:tcMar>
              <w:top w:w="0" w:type="dxa"/>
              <w:bottom w:w="0" w:type="dxa"/>
            </w:tcMar>
            <w:vAlign w:val="center"/>
          </w:tcPr>
          <w:p w14:paraId="6522F164" w14:textId="77777777" w:rsidR="00C92E8D" w:rsidRDefault="00C92E8D">
            <w:pPr>
              <w:tabs>
                <w:tab w:val="left" w:pos="432"/>
              </w:tabs>
              <w:spacing w:after="120" w:line="360" w:lineRule="auto"/>
              <w:jc w:val="center"/>
              <w:rPr>
                <w:rFonts w:ascii="Arial" w:eastAsia="Arial" w:hAnsi="Arial" w:cs="Arial"/>
                <w:color w:val="010000"/>
                <w:sz w:val="20"/>
                <w:szCs w:val="20"/>
              </w:rPr>
            </w:pPr>
          </w:p>
        </w:tc>
      </w:tr>
      <w:tr w:rsidR="00C92E8D" w14:paraId="6B1C7A10" w14:textId="77777777">
        <w:tc>
          <w:tcPr>
            <w:tcW w:w="830" w:type="dxa"/>
            <w:shd w:val="clear" w:color="auto" w:fill="auto"/>
            <w:tcMar>
              <w:top w:w="0" w:type="dxa"/>
              <w:bottom w:w="0" w:type="dxa"/>
            </w:tcMar>
            <w:vAlign w:val="center"/>
          </w:tcPr>
          <w:p w14:paraId="1C69969A" w14:textId="77777777" w:rsidR="00C92E8D" w:rsidRDefault="00A41E79" w:rsidP="00CF27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4341" w:type="dxa"/>
            <w:shd w:val="clear" w:color="auto" w:fill="auto"/>
            <w:tcMar>
              <w:top w:w="0" w:type="dxa"/>
              <w:bottom w:w="0" w:type="dxa"/>
            </w:tcMar>
            <w:vAlign w:val="center"/>
          </w:tcPr>
          <w:p w14:paraId="19C35276" w14:textId="77777777" w:rsidR="00C92E8D" w:rsidRDefault="00A41E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2025" w:type="dxa"/>
            <w:shd w:val="clear" w:color="auto" w:fill="auto"/>
            <w:tcMar>
              <w:top w:w="0" w:type="dxa"/>
              <w:bottom w:w="0" w:type="dxa"/>
            </w:tcMar>
            <w:vAlign w:val="center"/>
          </w:tcPr>
          <w:p w14:paraId="753F3B67" w14:textId="77777777" w:rsidR="00C92E8D" w:rsidRDefault="00C92E8D">
            <w:pPr>
              <w:tabs>
                <w:tab w:val="left" w:pos="432"/>
              </w:tabs>
              <w:spacing w:after="120" w:line="360" w:lineRule="auto"/>
              <w:jc w:val="center"/>
              <w:rPr>
                <w:rFonts w:ascii="Arial" w:eastAsia="Arial" w:hAnsi="Arial" w:cs="Arial"/>
                <w:color w:val="010000"/>
                <w:sz w:val="20"/>
                <w:szCs w:val="20"/>
              </w:rPr>
            </w:pPr>
          </w:p>
        </w:tc>
        <w:tc>
          <w:tcPr>
            <w:tcW w:w="1821" w:type="dxa"/>
            <w:shd w:val="clear" w:color="auto" w:fill="auto"/>
            <w:tcMar>
              <w:top w:w="0" w:type="dxa"/>
              <w:bottom w:w="0" w:type="dxa"/>
            </w:tcMar>
            <w:vAlign w:val="center"/>
          </w:tcPr>
          <w:p w14:paraId="15D6C3A6" w14:textId="77777777" w:rsidR="00C92E8D" w:rsidRDefault="00C92E8D">
            <w:pPr>
              <w:tabs>
                <w:tab w:val="left" w:pos="432"/>
              </w:tabs>
              <w:spacing w:after="120" w:line="360" w:lineRule="auto"/>
              <w:jc w:val="center"/>
              <w:rPr>
                <w:rFonts w:ascii="Arial" w:eastAsia="Arial" w:hAnsi="Arial" w:cs="Arial"/>
                <w:color w:val="010000"/>
                <w:sz w:val="20"/>
                <w:szCs w:val="20"/>
              </w:rPr>
            </w:pPr>
          </w:p>
        </w:tc>
      </w:tr>
      <w:tr w:rsidR="00C92E8D" w14:paraId="791BA17A" w14:textId="77777777">
        <w:tc>
          <w:tcPr>
            <w:tcW w:w="830" w:type="dxa"/>
            <w:shd w:val="clear" w:color="auto" w:fill="auto"/>
            <w:tcMar>
              <w:top w:w="0" w:type="dxa"/>
              <w:bottom w:w="0" w:type="dxa"/>
            </w:tcMar>
            <w:vAlign w:val="center"/>
          </w:tcPr>
          <w:p w14:paraId="3E83B1F2" w14:textId="77777777" w:rsidR="00C92E8D" w:rsidRDefault="00C92E8D" w:rsidP="00CF2749">
            <w:pPr>
              <w:tabs>
                <w:tab w:val="left" w:pos="432"/>
              </w:tabs>
              <w:spacing w:after="120" w:line="360" w:lineRule="auto"/>
              <w:jc w:val="center"/>
              <w:rPr>
                <w:rFonts w:ascii="Arial" w:eastAsia="Arial" w:hAnsi="Arial" w:cs="Arial"/>
                <w:color w:val="010000"/>
                <w:sz w:val="20"/>
                <w:szCs w:val="20"/>
              </w:rPr>
            </w:pPr>
          </w:p>
        </w:tc>
        <w:tc>
          <w:tcPr>
            <w:tcW w:w="4341" w:type="dxa"/>
            <w:shd w:val="clear" w:color="auto" w:fill="auto"/>
            <w:tcMar>
              <w:top w:w="0" w:type="dxa"/>
              <w:bottom w:w="0" w:type="dxa"/>
            </w:tcMar>
            <w:vAlign w:val="center"/>
          </w:tcPr>
          <w:p w14:paraId="5D4E6DC0" w14:textId="77777777" w:rsidR="00C92E8D" w:rsidRDefault="00A41E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funds:</w:t>
            </w:r>
          </w:p>
        </w:tc>
        <w:tc>
          <w:tcPr>
            <w:tcW w:w="2025" w:type="dxa"/>
            <w:shd w:val="clear" w:color="auto" w:fill="auto"/>
            <w:tcMar>
              <w:top w:w="0" w:type="dxa"/>
              <w:bottom w:w="0" w:type="dxa"/>
            </w:tcMar>
            <w:vAlign w:val="center"/>
          </w:tcPr>
          <w:p w14:paraId="24D53A9D" w14:textId="77777777" w:rsidR="00C92E8D" w:rsidRDefault="00C92E8D">
            <w:pPr>
              <w:tabs>
                <w:tab w:val="left" w:pos="432"/>
              </w:tabs>
              <w:spacing w:after="120" w:line="360" w:lineRule="auto"/>
              <w:jc w:val="center"/>
              <w:rPr>
                <w:rFonts w:ascii="Arial" w:eastAsia="Arial" w:hAnsi="Arial" w:cs="Arial"/>
                <w:color w:val="010000"/>
                <w:sz w:val="20"/>
                <w:szCs w:val="20"/>
              </w:rPr>
            </w:pPr>
          </w:p>
        </w:tc>
        <w:tc>
          <w:tcPr>
            <w:tcW w:w="1821" w:type="dxa"/>
            <w:shd w:val="clear" w:color="auto" w:fill="auto"/>
            <w:tcMar>
              <w:top w:w="0" w:type="dxa"/>
              <w:bottom w:w="0" w:type="dxa"/>
            </w:tcMar>
            <w:vAlign w:val="center"/>
          </w:tcPr>
          <w:p w14:paraId="2336670A"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40%</w:t>
            </w:r>
          </w:p>
        </w:tc>
      </w:tr>
      <w:tr w:rsidR="00C92E8D" w14:paraId="1457F7FF" w14:textId="77777777">
        <w:tc>
          <w:tcPr>
            <w:tcW w:w="830" w:type="dxa"/>
            <w:shd w:val="clear" w:color="auto" w:fill="auto"/>
            <w:tcMar>
              <w:top w:w="0" w:type="dxa"/>
              <w:bottom w:w="0" w:type="dxa"/>
            </w:tcMar>
            <w:vAlign w:val="center"/>
          </w:tcPr>
          <w:p w14:paraId="340EC406" w14:textId="77777777" w:rsidR="00C92E8D" w:rsidRDefault="00C92E8D" w:rsidP="00CF2749">
            <w:pPr>
              <w:tabs>
                <w:tab w:val="left" w:pos="432"/>
              </w:tabs>
              <w:spacing w:after="120" w:line="360" w:lineRule="auto"/>
              <w:jc w:val="center"/>
              <w:rPr>
                <w:rFonts w:ascii="Arial" w:eastAsia="Arial" w:hAnsi="Arial" w:cs="Arial"/>
                <w:color w:val="010000"/>
                <w:sz w:val="20"/>
                <w:szCs w:val="20"/>
              </w:rPr>
            </w:pPr>
          </w:p>
        </w:tc>
        <w:tc>
          <w:tcPr>
            <w:tcW w:w="4341" w:type="dxa"/>
            <w:shd w:val="clear" w:color="auto" w:fill="auto"/>
            <w:tcMar>
              <w:top w:w="0" w:type="dxa"/>
              <w:bottom w:w="0" w:type="dxa"/>
            </w:tcMar>
            <w:vAlign w:val="center"/>
          </w:tcPr>
          <w:p w14:paraId="3582FA04" w14:textId="25F02E70" w:rsidR="00C92E8D" w:rsidRPr="006314B7" w:rsidRDefault="006314B7" w:rsidP="006314B7">
            <w:pPr>
              <w:pStyle w:val="ListParagraph"/>
              <w:numPr>
                <w:ilvl w:val="0"/>
                <w:numId w:val="1"/>
              </w:numPr>
              <w:pBdr>
                <w:top w:val="nil"/>
                <w:left w:val="nil"/>
                <w:bottom w:val="nil"/>
                <w:right w:val="nil"/>
                <w:between w:val="nil"/>
              </w:pBdr>
              <w:tabs>
                <w:tab w:val="left" w:pos="145"/>
              </w:tabs>
              <w:spacing w:after="120" w:line="360" w:lineRule="auto"/>
              <w:ind w:left="-35" w:firstLine="0"/>
              <w:rPr>
                <w:rFonts w:ascii="Arial" w:eastAsia="Arial" w:hAnsi="Arial" w:cs="Arial"/>
                <w:color w:val="010000"/>
                <w:sz w:val="20"/>
                <w:szCs w:val="20"/>
              </w:rPr>
            </w:pPr>
            <w:r>
              <w:rPr>
                <w:rFonts w:ascii="Arial" w:hAnsi="Arial"/>
                <w:color w:val="010000"/>
                <w:sz w:val="20"/>
              </w:rPr>
              <w:t xml:space="preserve">Bonus and welfare fund </w:t>
            </w:r>
          </w:p>
        </w:tc>
        <w:tc>
          <w:tcPr>
            <w:tcW w:w="2025" w:type="dxa"/>
            <w:shd w:val="clear" w:color="auto" w:fill="auto"/>
            <w:tcMar>
              <w:top w:w="0" w:type="dxa"/>
              <w:bottom w:w="0" w:type="dxa"/>
            </w:tcMar>
            <w:vAlign w:val="center"/>
          </w:tcPr>
          <w:p w14:paraId="7CBE2B24" w14:textId="77777777" w:rsidR="00C92E8D" w:rsidRDefault="00C92E8D">
            <w:pPr>
              <w:tabs>
                <w:tab w:val="left" w:pos="432"/>
              </w:tabs>
              <w:spacing w:after="120" w:line="360" w:lineRule="auto"/>
              <w:jc w:val="center"/>
              <w:rPr>
                <w:rFonts w:ascii="Arial" w:eastAsia="Arial" w:hAnsi="Arial" w:cs="Arial"/>
                <w:color w:val="010000"/>
                <w:sz w:val="20"/>
                <w:szCs w:val="20"/>
              </w:rPr>
            </w:pPr>
          </w:p>
        </w:tc>
        <w:tc>
          <w:tcPr>
            <w:tcW w:w="1821" w:type="dxa"/>
            <w:shd w:val="clear" w:color="auto" w:fill="auto"/>
            <w:tcMar>
              <w:top w:w="0" w:type="dxa"/>
              <w:bottom w:w="0" w:type="dxa"/>
            </w:tcMar>
            <w:vAlign w:val="center"/>
          </w:tcPr>
          <w:p w14:paraId="2689ED0E"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35%</w:t>
            </w:r>
          </w:p>
        </w:tc>
      </w:tr>
      <w:tr w:rsidR="00C92E8D" w14:paraId="6975864D" w14:textId="77777777">
        <w:tc>
          <w:tcPr>
            <w:tcW w:w="830" w:type="dxa"/>
            <w:shd w:val="clear" w:color="auto" w:fill="auto"/>
            <w:tcMar>
              <w:top w:w="0" w:type="dxa"/>
              <w:bottom w:w="0" w:type="dxa"/>
            </w:tcMar>
            <w:vAlign w:val="center"/>
          </w:tcPr>
          <w:p w14:paraId="0DD1B72C" w14:textId="77777777" w:rsidR="00C92E8D" w:rsidRDefault="00C92E8D" w:rsidP="00CF2749">
            <w:pPr>
              <w:tabs>
                <w:tab w:val="left" w:pos="432"/>
              </w:tabs>
              <w:spacing w:after="120" w:line="360" w:lineRule="auto"/>
              <w:jc w:val="center"/>
              <w:rPr>
                <w:rFonts w:ascii="Arial" w:eastAsia="Arial" w:hAnsi="Arial" w:cs="Arial"/>
                <w:color w:val="010000"/>
                <w:sz w:val="20"/>
                <w:szCs w:val="20"/>
              </w:rPr>
            </w:pPr>
          </w:p>
        </w:tc>
        <w:tc>
          <w:tcPr>
            <w:tcW w:w="4341" w:type="dxa"/>
            <w:shd w:val="clear" w:color="auto" w:fill="auto"/>
            <w:tcMar>
              <w:top w:w="0" w:type="dxa"/>
              <w:bottom w:w="0" w:type="dxa"/>
            </w:tcMar>
            <w:vAlign w:val="center"/>
          </w:tcPr>
          <w:p w14:paraId="416CDC0A" w14:textId="77777777" w:rsidR="00C92E8D" w:rsidRDefault="00A41E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Bonus fund for the Executive Management Board (in case the revenue and profit targets are not achieved, no bonus will be appropriated for the Executive Management Board and will be additionally appropriated to the Bonus and Welfare Fund)</w:t>
            </w:r>
          </w:p>
        </w:tc>
        <w:tc>
          <w:tcPr>
            <w:tcW w:w="2025" w:type="dxa"/>
            <w:shd w:val="clear" w:color="auto" w:fill="auto"/>
            <w:tcMar>
              <w:top w:w="0" w:type="dxa"/>
              <w:bottom w:w="0" w:type="dxa"/>
            </w:tcMar>
            <w:vAlign w:val="center"/>
          </w:tcPr>
          <w:p w14:paraId="0842494C" w14:textId="77777777" w:rsidR="00C92E8D" w:rsidRDefault="00C92E8D">
            <w:pPr>
              <w:tabs>
                <w:tab w:val="left" w:pos="432"/>
              </w:tabs>
              <w:spacing w:after="120" w:line="360" w:lineRule="auto"/>
              <w:jc w:val="center"/>
              <w:rPr>
                <w:rFonts w:ascii="Arial" w:eastAsia="Arial" w:hAnsi="Arial" w:cs="Arial"/>
                <w:color w:val="010000"/>
                <w:sz w:val="20"/>
                <w:szCs w:val="20"/>
              </w:rPr>
            </w:pPr>
          </w:p>
        </w:tc>
        <w:tc>
          <w:tcPr>
            <w:tcW w:w="1821" w:type="dxa"/>
            <w:shd w:val="clear" w:color="auto" w:fill="auto"/>
            <w:tcMar>
              <w:top w:w="0" w:type="dxa"/>
              <w:bottom w:w="0" w:type="dxa"/>
            </w:tcMar>
            <w:vAlign w:val="center"/>
          </w:tcPr>
          <w:p w14:paraId="72029E08"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r>
      <w:tr w:rsidR="00C92E8D" w14:paraId="0C6FAA6A" w14:textId="77777777">
        <w:tc>
          <w:tcPr>
            <w:tcW w:w="830" w:type="dxa"/>
            <w:shd w:val="clear" w:color="auto" w:fill="auto"/>
            <w:tcMar>
              <w:top w:w="0" w:type="dxa"/>
              <w:bottom w:w="0" w:type="dxa"/>
            </w:tcMar>
            <w:vAlign w:val="center"/>
          </w:tcPr>
          <w:p w14:paraId="5CAE194E" w14:textId="77777777" w:rsidR="00C92E8D" w:rsidRDefault="00C92E8D" w:rsidP="00CF2749">
            <w:pPr>
              <w:tabs>
                <w:tab w:val="left" w:pos="432"/>
              </w:tabs>
              <w:spacing w:after="120" w:line="360" w:lineRule="auto"/>
              <w:jc w:val="center"/>
              <w:rPr>
                <w:rFonts w:ascii="Arial" w:eastAsia="Arial" w:hAnsi="Arial" w:cs="Arial"/>
                <w:color w:val="010000"/>
                <w:sz w:val="20"/>
                <w:szCs w:val="20"/>
              </w:rPr>
            </w:pPr>
          </w:p>
        </w:tc>
        <w:tc>
          <w:tcPr>
            <w:tcW w:w="4341" w:type="dxa"/>
            <w:shd w:val="clear" w:color="auto" w:fill="auto"/>
            <w:tcMar>
              <w:top w:w="0" w:type="dxa"/>
              <w:bottom w:w="0" w:type="dxa"/>
            </w:tcMar>
            <w:vAlign w:val="center"/>
          </w:tcPr>
          <w:p w14:paraId="1E0D9D4E" w14:textId="0A36F311" w:rsidR="00C92E8D" w:rsidRDefault="00A41E7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dividend payment o</w:t>
            </w:r>
            <w:r w:rsidR="0014254B">
              <w:rPr>
                <w:rFonts w:ascii="Arial" w:hAnsi="Arial"/>
                <w:color w:val="010000"/>
                <w:sz w:val="20"/>
              </w:rPr>
              <w:t xml:space="preserve">f 2020 in cash for Shareholders </w:t>
            </w:r>
            <w:bookmarkStart w:id="0" w:name="_GoBack"/>
            <w:bookmarkEnd w:id="0"/>
          </w:p>
        </w:tc>
        <w:tc>
          <w:tcPr>
            <w:tcW w:w="2025" w:type="dxa"/>
            <w:shd w:val="clear" w:color="auto" w:fill="auto"/>
            <w:tcMar>
              <w:top w:w="0" w:type="dxa"/>
              <w:bottom w:w="0" w:type="dxa"/>
            </w:tcMar>
            <w:vAlign w:val="center"/>
          </w:tcPr>
          <w:p w14:paraId="0B587642" w14:textId="77777777" w:rsidR="00C92E8D" w:rsidRDefault="00C92E8D">
            <w:pPr>
              <w:tabs>
                <w:tab w:val="left" w:pos="432"/>
              </w:tabs>
              <w:spacing w:after="120" w:line="360" w:lineRule="auto"/>
              <w:jc w:val="center"/>
              <w:rPr>
                <w:rFonts w:ascii="Arial" w:eastAsia="Arial" w:hAnsi="Arial" w:cs="Arial"/>
                <w:color w:val="010000"/>
                <w:sz w:val="20"/>
                <w:szCs w:val="20"/>
              </w:rPr>
            </w:pPr>
          </w:p>
        </w:tc>
        <w:tc>
          <w:tcPr>
            <w:tcW w:w="1821" w:type="dxa"/>
            <w:shd w:val="clear" w:color="auto" w:fill="auto"/>
            <w:tcMar>
              <w:top w:w="0" w:type="dxa"/>
              <w:bottom w:w="0" w:type="dxa"/>
            </w:tcMar>
            <w:vAlign w:val="center"/>
          </w:tcPr>
          <w:p w14:paraId="5BBD68F0" w14:textId="77777777" w:rsidR="00C92E8D" w:rsidRDefault="00A41E7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60%</w:t>
            </w:r>
          </w:p>
        </w:tc>
      </w:tr>
    </w:tbl>
    <w:p w14:paraId="32E95536" w14:textId="77777777" w:rsidR="00C92E8D" w:rsidRDefault="00A41E7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Proposal on approving the remuneration and some other expenses of the Board of Directors and the Supervisory Board in 2023; expected remuneration and some other expenses of the Board of Directors and the Supervisory Board in 2024.</w:t>
      </w:r>
    </w:p>
    <w:p w14:paraId="3C76D501" w14:textId="09746A92" w:rsidR="00C92E8D" w:rsidRDefault="00A41E7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the selection of the audit company to perform the review of the semi-annual Financial Statements and audit the Financial Statements for 2024 as AASC Auditing Firm Company Limited.</w:t>
      </w:r>
    </w:p>
    <w:p w14:paraId="35D65FC8" w14:textId="0C23C535" w:rsidR="00C92E8D" w:rsidRDefault="00A41E7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8. Approve the proposal to supplement the Company's business lines and amend the Charter </w:t>
      </w:r>
      <w:r w:rsidR="00CF2749">
        <w:rPr>
          <w:rFonts w:ascii="Arial" w:hAnsi="Arial"/>
          <w:color w:val="010000"/>
          <w:sz w:val="20"/>
        </w:rPr>
        <w:t>following</w:t>
      </w:r>
      <w:r>
        <w:rPr>
          <w:rFonts w:ascii="Arial" w:hAnsi="Arial"/>
          <w:color w:val="010000"/>
          <w:sz w:val="20"/>
        </w:rPr>
        <w:t xml:space="preserve"> the content of supplementing business lines.</w:t>
      </w:r>
    </w:p>
    <w:p w14:paraId="7C253C04" w14:textId="77777777" w:rsidR="00C92E8D" w:rsidRDefault="00A41E7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 Terms of enforcement</w:t>
      </w:r>
    </w:p>
    <w:p w14:paraId="3B7C66C8" w14:textId="77777777" w:rsidR="00C92E8D" w:rsidRDefault="00A41E7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General Mandate was unanimously approved in its entirety at the Annual General Meeting of Shareholders 2024 of VCC Engineering Consultants Joint Stock Company.</w:t>
      </w:r>
    </w:p>
    <w:p w14:paraId="2E7FCDEA" w14:textId="6F10E6E3" w:rsidR="00C92E8D" w:rsidRDefault="00A41E7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Members of the Board of Directors, Supervisory Board, Board of Management, Chief Accountant, relevant functional departments in the Company, and shareholders are responsible for implementing this General Mandate and organizing the implementation </w:t>
      </w:r>
      <w:r w:rsidR="00CF2749">
        <w:rPr>
          <w:rFonts w:ascii="Arial" w:hAnsi="Arial"/>
          <w:color w:val="010000"/>
          <w:sz w:val="20"/>
        </w:rPr>
        <w:t>following</w:t>
      </w:r>
      <w:r>
        <w:rPr>
          <w:rFonts w:ascii="Arial" w:hAnsi="Arial"/>
          <w:color w:val="010000"/>
          <w:sz w:val="20"/>
        </w:rPr>
        <w:t xml:space="preserve"> the provisions of the law and the Company's Charter.</w:t>
      </w:r>
    </w:p>
    <w:sectPr w:rsidR="00C92E8D">
      <w:headerReference w:type="default" r:id="rId8"/>
      <w:pgSz w:w="11907" w:h="16839"/>
      <w:pgMar w:top="1440" w:right="1440" w:bottom="1440" w:left="1440" w:header="0" w:footer="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4D0FD" w14:textId="77777777" w:rsidR="00B35D65" w:rsidRDefault="00B35D65">
      <w:r>
        <w:separator/>
      </w:r>
    </w:p>
  </w:endnote>
  <w:endnote w:type="continuationSeparator" w:id="0">
    <w:p w14:paraId="25583EF1" w14:textId="77777777" w:rsidR="00B35D65" w:rsidRDefault="00B3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878E8" w14:textId="77777777" w:rsidR="00B35D65" w:rsidRDefault="00B35D65">
      <w:r>
        <w:separator/>
      </w:r>
    </w:p>
  </w:footnote>
  <w:footnote w:type="continuationSeparator" w:id="0">
    <w:p w14:paraId="5EC55E72" w14:textId="77777777" w:rsidR="00B35D65" w:rsidRDefault="00B35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0FFBB" w14:textId="77777777" w:rsidR="00C92E8D" w:rsidRDefault="00C92E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219DF"/>
    <w:multiLevelType w:val="hybridMultilevel"/>
    <w:tmpl w:val="8594E552"/>
    <w:lvl w:ilvl="0" w:tplc="4DDC5CCC">
      <w:numFmt w:val="bullet"/>
      <w:lvlText w:val="-"/>
      <w:lvlJc w:val="left"/>
      <w:pPr>
        <w:ind w:left="720" w:hanging="360"/>
      </w:pPr>
      <w:rPr>
        <w:rFonts w:ascii="Arial" w:eastAsia="Courier Ne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8D"/>
    <w:rsid w:val="0014254B"/>
    <w:rsid w:val="00484E39"/>
    <w:rsid w:val="006314B7"/>
    <w:rsid w:val="00A41E79"/>
    <w:rsid w:val="00B35D65"/>
    <w:rsid w:val="00C92E8D"/>
    <w:rsid w:val="00CF2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11EC6"/>
  <w15:docId w15:val="{09FF02C3-9D3D-41F4-B762-B13E025A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Vnbnnidung0">
    <w:name w:val="Văn bản nội dung"/>
    <w:basedOn w:val="Normal"/>
    <w:link w:val="Vnbnnidung"/>
    <w:pPr>
      <w:spacing w:after="80" w:line="269" w:lineRule="auto"/>
      <w:ind w:firstLine="20"/>
    </w:pPr>
    <w:rPr>
      <w:rFonts w:ascii="Times New Roman" w:eastAsia="Times New Roman" w:hAnsi="Times New Roman" w:cs="Times New Roman"/>
    </w:rPr>
  </w:style>
  <w:style w:type="paragraph" w:customStyle="1" w:styleId="Khc0">
    <w:name w:val="Khác"/>
    <w:basedOn w:val="Normal"/>
    <w:link w:val="Khc"/>
    <w:pPr>
      <w:spacing w:after="80" w:line="269" w:lineRule="auto"/>
      <w:ind w:firstLine="20"/>
    </w:pPr>
    <w:rPr>
      <w:rFonts w:ascii="Times New Roman" w:eastAsia="Times New Roman" w:hAnsi="Times New Roman" w:cs="Times New Roman"/>
    </w:rPr>
  </w:style>
  <w:style w:type="paragraph" w:customStyle="1" w:styleId="Tiu30">
    <w:name w:val="Tiêu đề #3"/>
    <w:basedOn w:val="Normal"/>
    <w:link w:val="Tiu3"/>
    <w:pPr>
      <w:spacing w:after="160" w:line="269" w:lineRule="auto"/>
      <w:ind w:left="140"/>
      <w:outlineLvl w:val="2"/>
    </w:pPr>
    <w:rPr>
      <w:rFonts w:ascii="Times New Roman" w:eastAsia="Times New Roman" w:hAnsi="Times New Roman" w:cs="Times New Roman"/>
      <w:b/>
      <w:bCs/>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Chthchbng0">
    <w:name w:val="Chú thích bảng"/>
    <w:basedOn w:val="Normal"/>
    <w:link w:val="Chthchbng"/>
    <w:rPr>
      <w:rFonts w:ascii="Times New Roman" w:eastAsia="Times New Roman" w:hAnsi="Times New Roman" w:cs="Times New Roman"/>
      <w:i/>
      <w:iCs/>
    </w:rPr>
  </w:style>
  <w:style w:type="paragraph" w:customStyle="1" w:styleId="Tiu20">
    <w:name w:val="Tiêu đề #2"/>
    <w:basedOn w:val="Normal"/>
    <w:link w:val="Tiu2"/>
    <w:pPr>
      <w:spacing w:line="216" w:lineRule="auto"/>
      <w:jc w:val="center"/>
      <w:outlineLvl w:val="1"/>
    </w:pPr>
    <w:rPr>
      <w:rFonts w:ascii="Times New Roman" w:eastAsia="Times New Roman" w:hAnsi="Times New Roman" w:cs="Times New Roman"/>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631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1EWymg7gaoga9nLU2CfaN6C//A==">CgMxLjA4AHIhMVNWTHRoZXNKeTI1enc5ZkRMZW50VW5nNU14SUxQSHJP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2903</Characters>
  <Application>Microsoft Office Word</Application>
  <DocSecurity>0</DocSecurity>
  <Lines>138</Lines>
  <Paragraphs>87</Paragraphs>
  <ScaleCrop>false</ScaleCrop>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2024-05-03T02:46:00Z</dcterms:created>
  <dcterms:modified xsi:type="dcterms:W3CDTF">2024-05-04T09:29:00Z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6b75a91c06239c8822e10a68acd9bb48ba4411fc9e78e902f945d91a9590be95</vt:lpwstr>
  </property>
</Properties>
</file>