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5A9F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16722">
        <w:rPr>
          <w:rFonts w:ascii="Arial" w:hAnsi="Arial" w:cs="Arial"/>
          <w:b/>
          <w:color w:val="010000"/>
          <w:sz w:val="20"/>
          <w:szCs w:val="20"/>
        </w:rPr>
        <w:t>CFV: Annual General Mandate 2024</w:t>
      </w:r>
    </w:p>
    <w:p w14:paraId="5BB94826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416722">
        <w:rPr>
          <w:rFonts w:ascii="Arial" w:hAnsi="Arial" w:cs="Arial"/>
          <w:color w:val="010000"/>
          <w:sz w:val="20"/>
          <w:szCs w:val="20"/>
        </w:rPr>
        <w:t>Thang</w:t>
      </w:r>
      <w:proofErr w:type="spellEnd"/>
      <w:r w:rsidRPr="00416722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416722">
        <w:rPr>
          <w:rFonts w:ascii="Arial" w:hAnsi="Arial" w:cs="Arial"/>
          <w:color w:val="010000"/>
          <w:sz w:val="20"/>
          <w:szCs w:val="20"/>
        </w:rPr>
        <w:t>Loi</w:t>
      </w:r>
      <w:proofErr w:type="spellEnd"/>
      <w:r w:rsidRPr="00416722">
        <w:rPr>
          <w:rFonts w:ascii="Arial" w:hAnsi="Arial" w:cs="Arial"/>
          <w:color w:val="010000"/>
          <w:sz w:val="20"/>
          <w:szCs w:val="20"/>
        </w:rPr>
        <w:t xml:space="preserve"> Coffee Joint Stock Company announced General Mandate No. 07/2024/NQ-DHDCD as follows:</w:t>
      </w:r>
    </w:p>
    <w:p w14:paraId="6E11B118" w14:textId="099C1D8E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Article 1: Approve Report No. 72/2024/BC-BTGD dated March 25, 2024</w:t>
      </w:r>
      <w:r w:rsidR="00416722">
        <w:rPr>
          <w:rFonts w:ascii="Arial" w:hAnsi="Arial" w:cs="Arial"/>
          <w:color w:val="010000"/>
          <w:sz w:val="20"/>
          <w:szCs w:val="20"/>
        </w:rPr>
        <w:t>,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of the Board of Management on reporting the production and business results in 2023 and the production and business orientation for 2024</w:t>
      </w:r>
    </w:p>
    <w:p w14:paraId="37C3D703" w14:textId="452688EF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 xml:space="preserve">The General Meeting of Shareholders approves the report of the Board of Management on the results of production and business activities in 2023 and </w:t>
      </w:r>
      <w:r w:rsidR="00416722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416722">
        <w:rPr>
          <w:rFonts w:ascii="Arial" w:hAnsi="Arial" w:cs="Arial"/>
          <w:color w:val="010000"/>
          <w:sz w:val="20"/>
          <w:szCs w:val="20"/>
        </w:rPr>
        <w:t>production and business activities plan for 2024 as follows:</w:t>
      </w:r>
    </w:p>
    <w:p w14:paraId="6F1C5A24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Results of production and business activities in 2023: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331"/>
        <w:gridCol w:w="1259"/>
        <w:gridCol w:w="1170"/>
        <w:gridCol w:w="1259"/>
        <w:gridCol w:w="1372"/>
      </w:tblGrid>
      <w:tr w:rsidR="00DC7A37" w:rsidRPr="00416722" w14:paraId="7478024B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AFEE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2C10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34DA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7F20A" w14:textId="72600313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Results in 2023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D3DB4" w14:textId="6862F054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Plan in 2023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4F497" w14:textId="36AAAD3E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Results in 2023 compared to Plan in 2023</w:t>
            </w:r>
          </w:p>
        </w:tc>
      </w:tr>
      <w:tr w:rsidR="00DC7A37" w:rsidRPr="00416722" w14:paraId="7C74E10E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CF55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A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D4C2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Coffee Product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F081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Tons of green coffee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68D1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8,238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E5A7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8,302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1047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99%</w:t>
            </w:r>
          </w:p>
        </w:tc>
      </w:tr>
      <w:tr w:rsidR="00DC7A37" w:rsidRPr="00416722" w14:paraId="17D2C58A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ACD2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CF66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Green coffee purchased from outside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5D83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Tons of green coffee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36C3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8,008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AB44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8,000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3A44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100%</w:t>
            </w:r>
          </w:p>
        </w:tc>
      </w:tr>
      <w:tr w:rsidR="00DC7A37" w:rsidRPr="00416722" w14:paraId="62A451EF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0EF0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E228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Self-grown coffee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05A9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Tons of green coffee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0CEE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230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EC25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302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293F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76%</w:t>
            </w:r>
          </w:p>
        </w:tc>
      </w:tr>
      <w:tr w:rsidR="00DC7A37" w:rsidRPr="00416722" w14:paraId="0534CFFB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835C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B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4327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Results of production and business activities 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FEB65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67381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A18C4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50F9D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25788EC8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B90C5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DC56E" w14:textId="77777777" w:rsidR="00DC7A37" w:rsidRPr="00416722" w:rsidRDefault="00DC7A37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C146F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8A963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7043F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AB117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7D984831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A56D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1405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Total revenue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DBD6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78E3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469,085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82C4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379,483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848A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124%</w:t>
            </w:r>
          </w:p>
        </w:tc>
      </w:tr>
      <w:tr w:rsidR="00DC7A37" w:rsidRPr="00416722" w14:paraId="229029C6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6870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7ABF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Revenue from goods sold and services provision 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C8C4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D6092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456,040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E9B6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372,183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C9A8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123%</w:t>
            </w:r>
          </w:p>
        </w:tc>
      </w:tr>
      <w:tr w:rsidR="00DC7A37" w:rsidRPr="00416722" w14:paraId="600B0BDB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F46F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1.1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1D70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Revenue from green coffee purchased from outside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41AD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5789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429,400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07A0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352,383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5F5F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122%</w:t>
            </w:r>
          </w:p>
        </w:tc>
      </w:tr>
      <w:tr w:rsidR="00DC7A37" w:rsidRPr="00416722" w14:paraId="6EA5992E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2B0B2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1.2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151D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Revenue from coffee in Plan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E63C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6909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14,374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720F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12,300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8919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117%</w:t>
            </w:r>
          </w:p>
        </w:tc>
      </w:tr>
      <w:tr w:rsidR="00DC7A37" w:rsidRPr="00416722" w14:paraId="605A9943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25F5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1.3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F659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Revenue from leasing factory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9306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3353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12,266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C54B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6,800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BE2D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180%</w:t>
            </w:r>
          </w:p>
        </w:tc>
      </w:tr>
      <w:tr w:rsidR="00DC7A37" w:rsidRPr="00416722" w14:paraId="10657D61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6980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3F61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Other revenue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512F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49D0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13,045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95B47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7,300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F9A0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179%</w:t>
            </w:r>
          </w:p>
        </w:tc>
      </w:tr>
      <w:tr w:rsidR="00DC7A37" w:rsidRPr="00416722" w14:paraId="58D1941E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79C8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II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B9F1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1E402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4E73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4,896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7BFB7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4,125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29DE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119%</w:t>
            </w:r>
          </w:p>
        </w:tc>
      </w:tr>
      <w:tr w:rsidR="00DC7A37" w:rsidRPr="00416722" w14:paraId="77CDFFB9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C28D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III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8FB6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Corporate income tax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0A88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F342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1,361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019C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825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9B2D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165%</w:t>
            </w:r>
          </w:p>
        </w:tc>
      </w:tr>
      <w:tr w:rsidR="00DC7A37" w:rsidRPr="00416722" w14:paraId="3BE0FD3C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8497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IV</w:t>
            </w:r>
          </w:p>
        </w:tc>
        <w:tc>
          <w:tcPr>
            <w:tcW w:w="33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6BAA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4B9B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5A22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3,535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9C77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3,300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62D9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107%</w:t>
            </w:r>
          </w:p>
        </w:tc>
      </w:tr>
    </w:tbl>
    <w:p w14:paraId="415FC3C8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Production and business plan for 2024: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341"/>
        <w:gridCol w:w="1078"/>
        <w:gridCol w:w="1169"/>
        <w:gridCol w:w="1170"/>
        <w:gridCol w:w="1439"/>
        <w:gridCol w:w="1282"/>
      </w:tblGrid>
      <w:tr w:rsidR="00DC7A37" w:rsidRPr="00416722" w14:paraId="0AB52673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6B97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5834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97F4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57E4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Results in 2023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9F9F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Plan in 2024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7CEA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Plan in 2024 compared to Results in 2023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FA68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Note</w:t>
            </w:r>
          </w:p>
        </w:tc>
      </w:tr>
      <w:tr w:rsidR="00DC7A37" w:rsidRPr="00416722" w14:paraId="2787DB4E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0B83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8AF5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Coffee Product </w:t>
            </w:r>
          </w:p>
          <w:p w14:paraId="336AF665" w14:textId="77777777" w:rsidR="00DC7A37" w:rsidRPr="00416722" w:rsidRDefault="00DC7A37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B421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Tons of green coffee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3CF3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8,238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2314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6,310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A1E3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77%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68D50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499886A0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4FD6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9350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Green coffee purchased from outside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314C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Tons of green coffee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0A642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8,008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6D98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6,000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4596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75%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59456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226B5A94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18AB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4034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Self-grown coffee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E5817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Tons of green coffee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6450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230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2A26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310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D8EE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135%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112CF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174764E2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EAF4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B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692D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Results of production and business activities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BA1A9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5B7A6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31A77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B4C28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55700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45A54C12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5E95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4E9F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Total revenue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0C09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A01B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469,085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038D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395,586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1AA3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84%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C8BA0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00E70747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42B4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DFDD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Revenue from goods sold and services provision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0FFD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3E547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456,040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F862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384,486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B145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84%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8E71D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0C6ACB85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EDAB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1.1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8EFC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Revenue from green coffee purchased from outside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46A8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8B6A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429,400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51D0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354,000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7A45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82%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918D7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6B25552F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E77D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1.2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9759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Revenue from coffee in Plan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0D1B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AF5C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14,374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2F2D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16,926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BC48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118%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F4A6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Expected price floor is VND 10,000/kilogram of fresh coffee</w:t>
            </w:r>
          </w:p>
        </w:tc>
      </w:tr>
      <w:tr w:rsidR="00DC7A37" w:rsidRPr="00416722" w14:paraId="23D1D4B1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1E62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1.3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67C2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Revenue from leasing factory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5707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80A4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12,266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E199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13,560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93FC7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111%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0816C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44973D47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9569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B422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Other revenue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5E2E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F9B9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13,045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1464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11,100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2CC4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85%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333CF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087328F9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6A5A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E083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Accounting profit before tax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D9B92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5DA1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4,896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BE0E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5,114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0854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104%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653A1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59C929A1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797F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EECA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Corporate income tax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A76E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11FE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1,361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2283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1,023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E193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75%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9BB75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418D6BEB" w14:textId="77777777" w:rsidTr="00416722">
        <w:tc>
          <w:tcPr>
            <w:tcW w:w="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EF33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IV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428E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286D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C3DF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3,535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25F1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4,091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5A7F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116%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A0061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971F8AD" w14:textId="61017835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Article 2: Approve Report No. 73/2024/BC-HDQT dated March 25, 2024</w:t>
      </w:r>
      <w:r w:rsidR="00416722">
        <w:rPr>
          <w:rFonts w:ascii="Arial" w:hAnsi="Arial" w:cs="Arial"/>
          <w:color w:val="010000"/>
          <w:sz w:val="20"/>
          <w:szCs w:val="20"/>
        </w:rPr>
        <w:t>,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on the activities of the Board of Directors in 2023 and the operational orientation for 2024</w:t>
      </w:r>
    </w:p>
    <w:p w14:paraId="3200C2EB" w14:textId="106D8051" w:rsidR="00DC7A37" w:rsidRPr="00416722" w:rsidRDefault="00A13D26" w:rsidP="0041672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Article 3: Approve Report No. 74/2024/BC-BKS dated March 25, 2024</w:t>
      </w:r>
      <w:r w:rsidR="00416722">
        <w:rPr>
          <w:rFonts w:ascii="Arial" w:hAnsi="Arial" w:cs="Arial"/>
          <w:color w:val="010000"/>
          <w:sz w:val="20"/>
          <w:szCs w:val="20"/>
        </w:rPr>
        <w:t>,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on the activities of the Supervisory Board in 2023 and the operational orientation for 2024</w:t>
      </w:r>
    </w:p>
    <w:p w14:paraId="1816876D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Article 4: Approve Proposal No. 75/2024/TT-HDQT dated March 25, 2024 on approving the Audited Financial Statements for the fiscal year from January 01, 2023 to December 31, 2023</w:t>
      </w:r>
    </w:p>
    <w:p w14:paraId="0C54E026" w14:textId="53E06EF4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Article 5: Approve Proposal No. 76/2024/TT-HDQT dated March 25, 2024</w:t>
      </w:r>
      <w:r w:rsidR="00416722">
        <w:rPr>
          <w:rFonts w:ascii="Arial" w:hAnsi="Arial" w:cs="Arial"/>
          <w:color w:val="010000"/>
          <w:sz w:val="20"/>
          <w:szCs w:val="20"/>
        </w:rPr>
        <w:t>,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on approving the Plan on profit distribution and dividend payment with profit after tax in 2023.</w:t>
      </w:r>
    </w:p>
    <w:p w14:paraId="2F27D58B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The General Meeting approves the Plan on profit distribution and dividend payment with profit after tax in 2023 as follows:</w:t>
      </w:r>
    </w:p>
    <w:p w14:paraId="2637F0C4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Plan on distributing profit from January 01, 2023 to December 31, 2023: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453"/>
        <w:gridCol w:w="1089"/>
        <w:gridCol w:w="2680"/>
      </w:tblGrid>
      <w:tr w:rsidR="00DC7A37" w:rsidRPr="00416722" w14:paraId="49FEADCB" w14:textId="77777777">
        <w:tc>
          <w:tcPr>
            <w:tcW w:w="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C5CA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44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C5202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2E58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D2F5B" w14:textId="1E4BA131" w:rsidR="00DC7A37" w:rsidRPr="00416722" w:rsidRDefault="00BE66C0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Result</w:t>
            </w:r>
          </w:p>
        </w:tc>
      </w:tr>
      <w:tr w:rsidR="00DC7A37" w:rsidRPr="00416722" w14:paraId="68AC0B57" w14:textId="77777777">
        <w:tc>
          <w:tcPr>
            <w:tcW w:w="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E28C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44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F209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Total revenue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18FC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5A01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469,085,408,057</w:t>
            </w:r>
          </w:p>
        </w:tc>
      </w:tr>
      <w:tr w:rsidR="00DC7A37" w:rsidRPr="00416722" w14:paraId="13F2F494" w14:textId="77777777">
        <w:tc>
          <w:tcPr>
            <w:tcW w:w="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BF92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44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1F9E7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Total accounting profit before tax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CD74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AA543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4,896,414,423</w:t>
            </w:r>
          </w:p>
        </w:tc>
      </w:tr>
      <w:tr w:rsidR="00DC7A37" w:rsidRPr="00416722" w14:paraId="3C5C9A64" w14:textId="77777777">
        <w:tc>
          <w:tcPr>
            <w:tcW w:w="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D813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44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2342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89A7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A5AD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3,535,047,283</w:t>
            </w:r>
          </w:p>
        </w:tc>
      </w:tr>
      <w:tr w:rsidR="00DC7A37" w:rsidRPr="00416722" w14:paraId="29F2125B" w14:textId="77777777">
        <w:tc>
          <w:tcPr>
            <w:tcW w:w="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BBA7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44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CE2F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Dividend in 2023 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BC3A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D675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DC7A37" w:rsidRPr="00416722" w14:paraId="176E7153" w14:textId="77777777">
        <w:tc>
          <w:tcPr>
            <w:tcW w:w="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6E4C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44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4921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Profit for appropriation for Investment and Development fund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4913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381F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3,535,047,283</w:t>
            </w:r>
          </w:p>
        </w:tc>
      </w:tr>
      <w:tr w:rsidR="00DC7A37" w:rsidRPr="00416722" w14:paraId="4DEACF46" w14:textId="77777777">
        <w:tc>
          <w:tcPr>
            <w:tcW w:w="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E294A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44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2AED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Dividend payment over profit rate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A0F0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E59E0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</w:tbl>
    <w:p w14:paraId="441E95A8" w14:textId="5488F733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 xml:space="preserve">Article 6: Approve Report No. 77/2024/TT-HDQT dated March </w:t>
      </w:r>
      <w:r w:rsidR="00416722">
        <w:rPr>
          <w:rFonts w:ascii="Arial" w:hAnsi="Arial" w:cs="Arial"/>
          <w:color w:val="010000"/>
          <w:sz w:val="20"/>
          <w:szCs w:val="20"/>
        </w:rPr>
        <w:t>25, 2024,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on approving the remuneration and bonus for the Board of Directors and the Supervisory Board in 2023 and the plan for 2024.</w:t>
      </w:r>
    </w:p>
    <w:p w14:paraId="5A2DED6E" w14:textId="25803FD0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The remuneration and bonus for the Board of Directors, the Supervisory Board in 2023</w:t>
      </w:r>
      <w:r w:rsidR="00416722">
        <w:rPr>
          <w:rFonts w:ascii="Arial" w:hAnsi="Arial" w:cs="Arial"/>
          <w:color w:val="010000"/>
          <w:sz w:val="20"/>
          <w:szCs w:val="20"/>
        </w:rPr>
        <w:t>,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and the plan for 2024</w:t>
      </w:r>
    </w:p>
    <w:p w14:paraId="2EFA75C5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416722">
        <w:rPr>
          <w:rFonts w:ascii="Arial" w:hAnsi="Arial" w:cs="Arial"/>
          <w:i/>
          <w:color w:val="010000"/>
          <w:sz w:val="20"/>
          <w:szCs w:val="20"/>
        </w:rPr>
        <w:t>Unit VND/year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296"/>
        <w:gridCol w:w="1398"/>
        <w:gridCol w:w="1522"/>
        <w:gridCol w:w="3178"/>
      </w:tblGrid>
      <w:tr w:rsidR="00DC7A37" w:rsidRPr="00416722" w14:paraId="5F5938A1" w14:textId="77777777">
        <w:tc>
          <w:tcPr>
            <w:tcW w:w="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4D41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A5CA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1B077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Remuneration plan for 2023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B7C6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Total remuneration settlement in 2023</w:t>
            </w:r>
          </w:p>
        </w:tc>
        <w:tc>
          <w:tcPr>
            <w:tcW w:w="3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F631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Remuneration plan for 2024</w:t>
            </w:r>
          </w:p>
        </w:tc>
      </w:tr>
      <w:tr w:rsidR="00DC7A37" w:rsidRPr="00416722" w14:paraId="021A1F58" w14:textId="77777777">
        <w:tc>
          <w:tcPr>
            <w:tcW w:w="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E593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01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1A64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Executive Chair and non-executive members of the Board of Directors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542E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500,000,000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509B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331,809,574</w:t>
            </w:r>
          </w:p>
        </w:tc>
        <w:tc>
          <w:tcPr>
            <w:tcW w:w="3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26AE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500,000,000</w:t>
            </w:r>
          </w:p>
          <w:p w14:paraId="7E5AF29B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Salary for the Executive Chair of the Board of Directors: VND 22,500,000/month (excluding the </w:t>
            </w: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current personal income tax of 10%)</w:t>
            </w:r>
          </w:p>
        </w:tc>
      </w:tr>
      <w:tr w:rsidR="00DC7A37" w:rsidRPr="00416722" w14:paraId="52D30972" w14:textId="77777777">
        <w:tc>
          <w:tcPr>
            <w:tcW w:w="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1305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8240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Supervisory Board (03 members)</w:t>
            </w:r>
          </w:p>
        </w:tc>
        <w:tc>
          <w:tcPr>
            <w:tcW w:w="1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A96F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84,000,000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DDEE4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25,800,000</w:t>
            </w:r>
          </w:p>
        </w:tc>
        <w:tc>
          <w:tcPr>
            <w:tcW w:w="3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C98E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84,000,000</w:t>
            </w:r>
          </w:p>
        </w:tc>
      </w:tr>
    </w:tbl>
    <w:p w14:paraId="051E3C59" w14:textId="20A5904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Article 7: Approve Proposal No. 78/2024/TT-HDQT dated March 25, 2024</w:t>
      </w:r>
      <w:r w:rsidR="00416722">
        <w:rPr>
          <w:rFonts w:ascii="Arial" w:hAnsi="Arial" w:cs="Arial"/>
          <w:color w:val="010000"/>
          <w:sz w:val="20"/>
          <w:szCs w:val="20"/>
        </w:rPr>
        <w:t>,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authorizing the Board of Directors to select an audit company for the Financial Statements 2024 of the Company.</w:t>
      </w:r>
    </w:p>
    <w:p w14:paraId="73FDE551" w14:textId="39E0502D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 xml:space="preserve">The General Meeting approves the contents of the Proposal on authorizing the Chair of the Board of Directors to select one of the audit companies that is </w:t>
      </w:r>
      <w:r w:rsidR="00416722">
        <w:rPr>
          <w:rFonts w:ascii="Arial" w:hAnsi="Arial" w:cs="Arial"/>
          <w:color w:val="010000"/>
          <w:sz w:val="20"/>
          <w:szCs w:val="20"/>
        </w:rPr>
        <w:t>following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the actual situation during the year and meets all the criteria to audit the Financial Statements 2024 of the Company</w:t>
      </w:r>
    </w:p>
    <w:p w14:paraId="0180DA91" w14:textId="12C38FB6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Article 8: Proposal No. 79/2024/TT-HDQT dated March 25, 2024</w:t>
      </w:r>
      <w:r w:rsidR="00416722">
        <w:rPr>
          <w:rFonts w:ascii="Arial" w:hAnsi="Arial" w:cs="Arial"/>
          <w:color w:val="010000"/>
          <w:sz w:val="20"/>
          <w:szCs w:val="20"/>
        </w:rPr>
        <w:t>,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on approving the contracts and transactions between the Company and affiliated persons</w:t>
      </w:r>
    </w:p>
    <w:p w14:paraId="474D94D6" w14:textId="6D7092FB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Article 9: Approve Proposal No. 80/2024/TT-HDQT dated March 25, 2024</w:t>
      </w:r>
      <w:r w:rsidR="00416722">
        <w:rPr>
          <w:rFonts w:ascii="Arial" w:hAnsi="Arial" w:cs="Arial"/>
          <w:color w:val="010000"/>
          <w:sz w:val="20"/>
          <w:szCs w:val="20"/>
        </w:rPr>
        <w:t>,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on approving the election of members of the Board of Directors and members of the Supervisory Board for the term of 2024-2028</w:t>
      </w:r>
    </w:p>
    <w:p w14:paraId="0653BD5F" w14:textId="736CFB93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 xml:space="preserve">The General Meeting of Shareholders approves the election of the members of the Board of Directors and the Supervisory Board for </w:t>
      </w:r>
      <w:r w:rsidR="00416722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416722">
        <w:rPr>
          <w:rFonts w:ascii="Arial" w:hAnsi="Arial" w:cs="Arial"/>
          <w:color w:val="010000"/>
          <w:sz w:val="20"/>
          <w:szCs w:val="20"/>
        </w:rPr>
        <w:t>term of 2024 - 2028 as follows:</w:t>
      </w:r>
    </w:p>
    <w:p w14:paraId="5594AC78" w14:textId="77777777" w:rsidR="00DC7A37" w:rsidRPr="00416722" w:rsidRDefault="00A13D26" w:rsidP="00416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Number of members of the Board of Directors: 05 people.</w:t>
      </w:r>
    </w:p>
    <w:p w14:paraId="43A951F5" w14:textId="77777777" w:rsidR="00DC7A37" w:rsidRPr="00416722" w:rsidRDefault="00A13D26" w:rsidP="00416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Number of members of the Supervisory Board: 03 people.</w:t>
      </w:r>
    </w:p>
    <w:p w14:paraId="51BA0017" w14:textId="77777777" w:rsidR="00DC7A37" w:rsidRPr="00416722" w:rsidRDefault="00A13D26" w:rsidP="00416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List of candidates: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09"/>
      </w:tblGrid>
      <w:tr w:rsidR="00DC7A37" w:rsidRPr="00416722" w14:paraId="791956E6" w14:textId="77777777">
        <w:tc>
          <w:tcPr>
            <w:tcW w:w="4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25542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List of candidates for the members of the Board of Directors</w:t>
            </w:r>
          </w:p>
        </w:tc>
        <w:tc>
          <w:tcPr>
            <w:tcW w:w="4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DBC30" w14:textId="36FC3B0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List of candidates of the members of </w:t>
            </w:r>
            <w:r w:rsid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the </w:t>
            </w: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Supervisory Board</w:t>
            </w:r>
          </w:p>
        </w:tc>
      </w:tr>
      <w:tr w:rsidR="00DC7A37" w:rsidRPr="00416722" w14:paraId="32E5B6D8" w14:textId="77777777">
        <w:tc>
          <w:tcPr>
            <w:tcW w:w="4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7B11C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1 Mr. Do Hoang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4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26D3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1 Mr. Pham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Dinh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Bo</w:t>
            </w:r>
          </w:p>
        </w:tc>
      </w:tr>
      <w:tr w:rsidR="00DC7A37" w:rsidRPr="00416722" w14:paraId="215254C7" w14:textId="77777777">
        <w:tc>
          <w:tcPr>
            <w:tcW w:w="4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455B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2 Mr. Pham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Xuan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Thu</w:t>
            </w:r>
          </w:p>
        </w:tc>
        <w:tc>
          <w:tcPr>
            <w:tcW w:w="4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8E769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2 Ms. Le Dang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Uyen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Dan</w:t>
            </w:r>
          </w:p>
        </w:tc>
      </w:tr>
      <w:tr w:rsidR="00DC7A37" w:rsidRPr="00416722" w14:paraId="7761C8F6" w14:textId="77777777">
        <w:tc>
          <w:tcPr>
            <w:tcW w:w="4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B218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 Mr. Do Hoang Phuong</w:t>
            </w:r>
          </w:p>
        </w:tc>
        <w:tc>
          <w:tcPr>
            <w:tcW w:w="4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1D33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3 Ms. Nguyen Thi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Thuy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Hang</w:t>
            </w:r>
          </w:p>
        </w:tc>
      </w:tr>
      <w:tr w:rsidR="00DC7A37" w:rsidRPr="00416722" w14:paraId="221995BF" w14:textId="77777777">
        <w:tc>
          <w:tcPr>
            <w:tcW w:w="4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7849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4 Ms. Pham Thi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4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6A58C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3AE26E54" w14:textId="77777777">
        <w:tc>
          <w:tcPr>
            <w:tcW w:w="4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28878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5 Ms. Dang Thi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4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A3364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BAF4EAE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Article 10: Approve the results of the election for members of the Board of Directors and the Supervisory Board of the term 2024-2028</w:t>
      </w:r>
    </w:p>
    <w:p w14:paraId="2F6A2B99" w14:textId="21FC61B8" w:rsidR="00DC7A37" w:rsidRPr="00416722" w:rsidRDefault="00A13D26" w:rsidP="00416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Approve the list of elected members for the Board of Directors and the Supervisory Board for the term of 2024-2028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4665"/>
      </w:tblGrid>
      <w:tr w:rsidR="00DC7A37" w:rsidRPr="00416722" w14:paraId="1F0BA364" w14:textId="77777777">
        <w:tc>
          <w:tcPr>
            <w:tcW w:w="43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763E0" w14:textId="651102DD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List of elected me</w:t>
            </w:r>
            <w:r w:rsidR="00416722">
              <w:rPr>
                <w:rFonts w:ascii="Arial" w:hAnsi="Arial" w:cs="Arial"/>
                <w:color w:val="010000"/>
                <w:sz w:val="20"/>
                <w:szCs w:val="20"/>
              </w:rPr>
              <w:t>mbers of the Board of Directors</w:t>
            </w:r>
          </w:p>
        </w:tc>
        <w:tc>
          <w:tcPr>
            <w:tcW w:w="4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F534D" w14:textId="34BF836B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List of elected m</w:t>
            </w:r>
            <w:r w:rsidR="00416722">
              <w:rPr>
                <w:rFonts w:ascii="Arial" w:hAnsi="Arial" w:cs="Arial"/>
                <w:color w:val="010000"/>
                <w:sz w:val="20"/>
                <w:szCs w:val="20"/>
              </w:rPr>
              <w:t>embers of the Supervisory Board</w:t>
            </w:r>
          </w:p>
        </w:tc>
      </w:tr>
      <w:tr w:rsidR="00DC7A37" w:rsidRPr="00416722" w14:paraId="47569E10" w14:textId="77777777">
        <w:tc>
          <w:tcPr>
            <w:tcW w:w="43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7F4E5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1 Mr. Do Hoang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Phuc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- Chair of the Board of Directors</w:t>
            </w:r>
          </w:p>
        </w:tc>
        <w:tc>
          <w:tcPr>
            <w:tcW w:w="4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AA632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1 Mr. Pham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Dinh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Bo - Chief of the Supervisory Board</w:t>
            </w:r>
          </w:p>
        </w:tc>
      </w:tr>
      <w:tr w:rsidR="00DC7A37" w:rsidRPr="00416722" w14:paraId="6DC90C20" w14:textId="77777777">
        <w:tc>
          <w:tcPr>
            <w:tcW w:w="43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A93BE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2 Mr. Pham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Xuan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Thu - Member of the Board of Directors</w:t>
            </w:r>
          </w:p>
        </w:tc>
        <w:tc>
          <w:tcPr>
            <w:tcW w:w="4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2C841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2 Ms. Dang Le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Uyen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Dan - member of the Supervisory Board</w:t>
            </w:r>
          </w:p>
        </w:tc>
      </w:tr>
      <w:tr w:rsidR="00DC7A37" w:rsidRPr="00416722" w14:paraId="1E1A5DD8" w14:textId="77777777">
        <w:tc>
          <w:tcPr>
            <w:tcW w:w="43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30F66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3 Mr. Do Hoang Phuong - Member of the Board of Directors</w:t>
            </w:r>
          </w:p>
        </w:tc>
        <w:tc>
          <w:tcPr>
            <w:tcW w:w="4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2ABED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3 Ms. Nguyen Thi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Thuy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Hang - Member of the Supervisory Board</w:t>
            </w:r>
          </w:p>
        </w:tc>
      </w:tr>
      <w:tr w:rsidR="00DC7A37" w:rsidRPr="00416722" w14:paraId="7F672849" w14:textId="77777777">
        <w:tc>
          <w:tcPr>
            <w:tcW w:w="43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EEA87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4 Ms. Pham Thi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Linh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- Member of the Board of Directors</w:t>
            </w:r>
          </w:p>
        </w:tc>
        <w:tc>
          <w:tcPr>
            <w:tcW w:w="4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82CB0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C7A37" w:rsidRPr="00416722" w14:paraId="4A971BBB" w14:textId="77777777">
        <w:tc>
          <w:tcPr>
            <w:tcW w:w="43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17C3F" w14:textId="77777777" w:rsidR="00DC7A37" w:rsidRPr="00416722" w:rsidRDefault="00A13D26" w:rsidP="0041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5 Ms. Dang Thi </w:t>
            </w:r>
            <w:proofErr w:type="spellStart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>Huyen</w:t>
            </w:r>
            <w:proofErr w:type="spellEnd"/>
            <w:r w:rsidRPr="00416722">
              <w:rPr>
                <w:rFonts w:ascii="Arial" w:hAnsi="Arial" w:cs="Arial"/>
                <w:color w:val="010000"/>
                <w:sz w:val="20"/>
                <w:szCs w:val="20"/>
              </w:rPr>
              <w:t xml:space="preserve"> - Member of the Board of Directors</w:t>
            </w:r>
          </w:p>
        </w:tc>
        <w:tc>
          <w:tcPr>
            <w:tcW w:w="4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83CF4" w14:textId="77777777" w:rsidR="00DC7A37" w:rsidRPr="00416722" w:rsidRDefault="00DC7A37" w:rsidP="00416722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20FAC87" w14:textId="5B7FEDB9" w:rsidR="00DC7A37" w:rsidRPr="00416722" w:rsidRDefault="00A13D26" w:rsidP="0041672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 xml:space="preserve">Article 11: This General Mandate takes </w:t>
      </w:r>
      <w:r w:rsidR="00C04526">
        <w:rPr>
          <w:rFonts w:ascii="Arial" w:hAnsi="Arial" w:cs="Arial"/>
          <w:color w:val="010000"/>
          <w:sz w:val="20"/>
          <w:szCs w:val="20"/>
        </w:rPr>
        <w:t>effect</w:t>
      </w:r>
      <w:r w:rsidRPr="00416722">
        <w:rPr>
          <w:rFonts w:ascii="Arial" w:hAnsi="Arial" w:cs="Arial"/>
          <w:color w:val="010000"/>
          <w:sz w:val="20"/>
          <w:szCs w:val="20"/>
        </w:rPr>
        <w:t xml:space="preserve"> from April 24, 2024</w:t>
      </w:r>
    </w:p>
    <w:p w14:paraId="4E5A777B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The General Mandate will be disclosed on the website of the Company as per the provisions of the law.</w:t>
      </w:r>
    </w:p>
    <w:p w14:paraId="7FA68B9C" w14:textId="77777777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Article 12: Responsibility for dissemination and implementation of this General Mandate.</w:t>
      </w:r>
    </w:p>
    <w:p w14:paraId="435A6B6D" w14:textId="55CFB87C" w:rsidR="00DC7A37" w:rsidRPr="00416722" w:rsidRDefault="00A13D26" w:rsidP="0041672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722">
        <w:rPr>
          <w:rFonts w:ascii="Arial" w:hAnsi="Arial" w:cs="Arial"/>
          <w:color w:val="010000"/>
          <w:sz w:val="20"/>
          <w:szCs w:val="20"/>
        </w:rPr>
        <w:t>The General Meeting of Shareholders assigns the Board of Directors, the Supervisory Board, and the Board of Management</w:t>
      </w:r>
      <w:r w:rsidRPr="00416722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416722">
        <w:rPr>
          <w:rFonts w:ascii="Arial" w:hAnsi="Arial" w:cs="Arial"/>
          <w:color w:val="010000"/>
          <w:sz w:val="20"/>
          <w:szCs w:val="20"/>
        </w:rPr>
        <w:t>to be responsible for disseminating, implementing</w:t>
      </w:r>
      <w:r w:rsidR="00C04526">
        <w:rPr>
          <w:rFonts w:ascii="Arial" w:hAnsi="Arial" w:cs="Arial"/>
          <w:color w:val="010000"/>
          <w:sz w:val="20"/>
          <w:szCs w:val="20"/>
        </w:rPr>
        <w:t>,</w:t>
      </w:r>
      <w:bookmarkStart w:id="0" w:name="_GoBack"/>
      <w:bookmarkEnd w:id="0"/>
      <w:r w:rsidRPr="00416722">
        <w:rPr>
          <w:rFonts w:ascii="Arial" w:hAnsi="Arial" w:cs="Arial"/>
          <w:color w:val="010000"/>
          <w:sz w:val="20"/>
          <w:szCs w:val="20"/>
        </w:rPr>
        <w:t xml:space="preserve"> and monitoring the implementation of this General Mandate.</w:t>
      </w:r>
    </w:p>
    <w:sectPr w:rsidR="00DC7A37" w:rsidRPr="0041672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pt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81703"/>
    <w:multiLevelType w:val="multilevel"/>
    <w:tmpl w:val="1DB04A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F487666"/>
    <w:multiLevelType w:val="multilevel"/>
    <w:tmpl w:val="EE0E14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37"/>
    <w:rsid w:val="00416722"/>
    <w:rsid w:val="00A13D26"/>
    <w:rsid w:val="00BE66C0"/>
    <w:rsid w:val="00C04526"/>
    <w:rsid w:val="00D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848BB"/>
  <w15:docId w15:val="{171E860A-2AC7-4FBA-A5EE-A44EC17C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22B32"/>
      <w:sz w:val="40"/>
      <w:szCs w:val="4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22B32"/>
      <w:sz w:val="30"/>
      <w:szCs w:val="30"/>
      <w:u w:val="none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0">
    <w:name w:val="Footnote"/>
    <w:basedOn w:val="Normal"/>
    <w:link w:val="Footnote"/>
    <w:pPr>
      <w:ind w:left="24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312" w:lineRule="auto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41">
    <w:name w:val="Heading #4"/>
    <w:basedOn w:val="Normal"/>
    <w:link w:val="Heading40"/>
    <w:pPr>
      <w:spacing w:line="312" w:lineRule="auto"/>
      <w:ind w:left="2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260"/>
    </w:pPr>
    <w:rPr>
      <w:rFonts w:ascii="Arial" w:eastAsia="Arial" w:hAnsi="Arial" w:cs="Arial"/>
      <w:sz w:val="10"/>
      <w:szCs w:val="10"/>
    </w:rPr>
  </w:style>
  <w:style w:type="paragraph" w:customStyle="1" w:styleId="Other0">
    <w:name w:val="Other"/>
    <w:basedOn w:val="Normal"/>
    <w:link w:val="Other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6240"/>
      <w:outlineLvl w:val="0"/>
    </w:pPr>
    <w:rPr>
      <w:rFonts w:ascii="Times New Roman" w:eastAsia="Times New Roman" w:hAnsi="Times New Roman" w:cs="Times New Roman"/>
      <w:i/>
      <w:iCs/>
      <w:color w:val="922B32"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i/>
      <w:iCs/>
      <w:color w:val="922B32"/>
      <w:sz w:val="30"/>
      <w:szCs w:val="30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 (6)"/>
    <w:basedOn w:val="Normal"/>
    <w:link w:val="Bodytext6"/>
    <w:pPr>
      <w:spacing w:line="252" w:lineRule="auto"/>
      <w:ind w:left="1100" w:firstLine="20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al"/>
    <w:link w:val="Bodytext7"/>
    <w:pPr>
      <w:spacing w:line="226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Tableofcontents0">
    <w:name w:val="Table of contents"/>
    <w:basedOn w:val="Normal"/>
    <w:link w:val="Tableofcontents"/>
    <w:pPr>
      <w:spacing w:line="259" w:lineRule="auto"/>
      <w:ind w:left="1100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al"/>
    <w:link w:val="Bodytext8"/>
    <w:pPr>
      <w:spacing w:line="312" w:lineRule="auto"/>
      <w:ind w:left="500" w:firstLine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90">
    <w:name w:val="Body text (9)"/>
    <w:basedOn w:val="Normal"/>
    <w:link w:val="Bodytext9"/>
    <w:pPr>
      <w:spacing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KMQiwnV5wyAQRVm8bru8gIiyg==">CgMxLjA4AHIhMW5qQ2l2S09Xd3diM3dJd0dxMDZMZWV6OFlTd0FiVnp3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1187</Words>
  <Characters>5888</Characters>
  <Application>Microsoft Office Word</Application>
  <DocSecurity>0</DocSecurity>
  <Lines>392</Lines>
  <Paragraphs>307</Paragraphs>
  <ScaleCrop>false</ScaleCrop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N4010</dc:creator>
  <cp:lastModifiedBy>Nguyen Thi Quynh Trang</cp:lastModifiedBy>
  <cp:revision>5</cp:revision>
  <dcterms:created xsi:type="dcterms:W3CDTF">2024-04-29T07:28:00Z</dcterms:created>
  <dcterms:modified xsi:type="dcterms:W3CDTF">2024-05-03T08:07:00Z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813a95c8d49711ab475a888e36e8ee959647fd25459eed1d9324f23e2de3f6cf</vt:lpwstr>
  </property>
</Properties>
</file>