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E829F"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b/>
          <w:color w:val="010000"/>
          <w:sz w:val="20"/>
          <w:szCs w:val="20"/>
        </w:rPr>
      </w:pPr>
      <w:r>
        <w:rPr>
          <w:rFonts w:ascii="Arial" w:hAnsi="Arial"/>
          <w:b/>
          <w:color w:val="010000"/>
          <w:sz w:val="20"/>
        </w:rPr>
        <w:t>CMF: Annual General Mandate 2024</w:t>
      </w:r>
    </w:p>
    <w:p w14:paraId="0B75DE03"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 xml:space="preserve">On April 24, 2024, </w:t>
      </w:r>
      <w:proofErr w:type="spellStart"/>
      <w:r>
        <w:rPr>
          <w:rFonts w:ascii="Arial" w:hAnsi="Arial"/>
          <w:color w:val="010000"/>
          <w:sz w:val="20"/>
        </w:rPr>
        <w:t>Cholimex</w:t>
      </w:r>
      <w:proofErr w:type="spellEnd"/>
      <w:r>
        <w:rPr>
          <w:rFonts w:ascii="Arial" w:hAnsi="Arial"/>
          <w:color w:val="010000"/>
          <w:sz w:val="20"/>
        </w:rPr>
        <w:t xml:space="preserve"> Food Joint Stock Company announced General Mandate No. 01/NQ-DHDCD as follows:</w:t>
      </w:r>
    </w:p>
    <w:p w14:paraId="43D2E12C"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 xml:space="preserve">Article 1: Approve the Report on Production and Business Activities in 2023. </w:t>
      </w:r>
    </w:p>
    <w:p w14:paraId="0C1524C9" w14:textId="77777777" w:rsidR="0037019D" w:rsidRDefault="000C3153" w:rsidP="003F6FCC">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Pr>
          <w:rFonts w:ascii="Arial" w:hAnsi="Arial"/>
          <w:color w:val="010000"/>
          <w:sz w:val="20"/>
        </w:rPr>
        <w:t>Total revenue: VND 3,411.894 billion, (increased by 5.9% compared to that in 2022)</w:t>
      </w:r>
    </w:p>
    <w:p w14:paraId="2230F7A8" w14:textId="77777777" w:rsidR="0037019D" w:rsidRDefault="000C3153" w:rsidP="003F6FCC">
      <w:pPr>
        <w:numPr>
          <w:ilvl w:val="0"/>
          <w:numId w:val="1"/>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Pr>
          <w:rFonts w:ascii="Arial" w:hAnsi="Arial"/>
          <w:color w:val="010000"/>
          <w:sz w:val="20"/>
        </w:rPr>
        <w:t>Profit before tax: VND 289.481 billion, (increased by 4.5% compared to that in 2022)</w:t>
      </w:r>
    </w:p>
    <w:p w14:paraId="4B99AA31"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2: Approve the production and business plan for 2024.</w:t>
      </w:r>
    </w:p>
    <w:p w14:paraId="6123028D" w14:textId="77777777" w:rsidR="0037019D" w:rsidRDefault="000C3153" w:rsidP="003F6FCC">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Total revenue: VND 3,850 billion, (increased by 12.8% compared to that in 2023)</w:t>
      </w:r>
    </w:p>
    <w:p w14:paraId="1725B284" w14:textId="77777777" w:rsidR="0037019D" w:rsidRDefault="000C3153" w:rsidP="003F6FCC">
      <w:pPr>
        <w:numPr>
          <w:ilvl w:val="0"/>
          <w:numId w:val="4"/>
        </w:num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Profit before tax: VND 320 billion, (increased by 10.5% compared to that in 2023)</w:t>
      </w:r>
    </w:p>
    <w:p w14:paraId="1C3E3CE2"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3: Approve the Report on the activities of the Board of Directors in 2023 and the orientations and plan for 2024.</w:t>
      </w:r>
    </w:p>
    <w:p w14:paraId="1AB27628"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4: Approve the Corporate Governance Report in 2023.</w:t>
      </w:r>
    </w:p>
    <w:p w14:paraId="4B6B9E05"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5: Approve the Financial Statements 2023 of the Company audited by Deloitte Vietnam Company Limited</w:t>
      </w:r>
    </w:p>
    <w:p w14:paraId="7A99F636"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6: Approve the Report on the activities of the Supervisory Board in 2023.</w:t>
      </w:r>
    </w:p>
    <w:p w14:paraId="0A2D318F" w14:textId="03DD35D6"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7: Approve the selection of an independent audit company for the Financial Statement 2024</w:t>
      </w:r>
    </w:p>
    <w:p w14:paraId="02D30069" w14:textId="75E96B83" w:rsidR="0037019D" w:rsidRDefault="000C3153" w:rsidP="003F6FCC">
      <w:pPr>
        <w:numPr>
          <w:ilvl w:val="0"/>
          <w:numId w:val="2"/>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audit company for the fiscal year of 2024 is a company on the list of audit companies allowed to audit public interest entities in 2024 announced by the State Securities Commission, specifically </w:t>
      </w:r>
      <w:r w:rsidR="003F6FCC">
        <w:rPr>
          <w:rFonts w:ascii="Arial" w:hAnsi="Arial"/>
          <w:color w:val="010000"/>
          <w:sz w:val="20"/>
        </w:rPr>
        <w:t>The company</w:t>
      </w:r>
      <w:r>
        <w:rPr>
          <w:rFonts w:ascii="Arial" w:hAnsi="Arial"/>
          <w:color w:val="010000"/>
          <w:sz w:val="20"/>
        </w:rPr>
        <w:t xml:space="preserve"> will select 01 of the following 03 audit companies:</w:t>
      </w:r>
    </w:p>
    <w:p w14:paraId="73C37E3A" w14:textId="77777777" w:rsidR="0037019D" w:rsidRDefault="000C3153" w:rsidP="003F6FCC">
      <w:pPr>
        <w:numPr>
          <w:ilvl w:val="0"/>
          <w:numId w:val="5"/>
        </w:numPr>
        <w:pBdr>
          <w:top w:val="nil"/>
          <w:left w:val="nil"/>
          <w:bottom w:val="nil"/>
          <w:right w:val="nil"/>
          <w:between w:val="nil"/>
        </w:pBdr>
        <w:tabs>
          <w:tab w:val="left" w:pos="180"/>
          <w:tab w:val="left" w:pos="490"/>
        </w:tabs>
        <w:spacing w:after="120" w:line="360" w:lineRule="auto"/>
        <w:jc w:val="both"/>
        <w:rPr>
          <w:rFonts w:ascii="Arial" w:eastAsia="Arial" w:hAnsi="Arial" w:cs="Arial"/>
          <w:color w:val="010000"/>
          <w:sz w:val="20"/>
          <w:szCs w:val="20"/>
        </w:rPr>
      </w:pPr>
      <w:r>
        <w:rPr>
          <w:rFonts w:ascii="Arial" w:hAnsi="Arial"/>
          <w:color w:val="010000"/>
          <w:sz w:val="20"/>
        </w:rPr>
        <w:t>Deloitte Vietnam Company Limited;</w:t>
      </w:r>
    </w:p>
    <w:p w14:paraId="2DCE7F38" w14:textId="77777777" w:rsidR="0037019D" w:rsidRDefault="000C3153" w:rsidP="003F6FCC">
      <w:pPr>
        <w:numPr>
          <w:ilvl w:val="0"/>
          <w:numId w:val="5"/>
        </w:numPr>
        <w:pBdr>
          <w:top w:val="nil"/>
          <w:left w:val="nil"/>
          <w:bottom w:val="nil"/>
          <w:right w:val="nil"/>
          <w:between w:val="nil"/>
        </w:pBdr>
        <w:tabs>
          <w:tab w:val="left" w:pos="180"/>
          <w:tab w:val="left" w:pos="490"/>
        </w:tabs>
        <w:spacing w:after="120" w:line="360" w:lineRule="auto"/>
        <w:jc w:val="both"/>
        <w:rPr>
          <w:rFonts w:ascii="Arial" w:eastAsia="Arial" w:hAnsi="Arial" w:cs="Arial"/>
          <w:color w:val="010000"/>
          <w:sz w:val="20"/>
          <w:szCs w:val="20"/>
        </w:rPr>
      </w:pPr>
      <w:r>
        <w:rPr>
          <w:rFonts w:ascii="Arial" w:hAnsi="Arial"/>
          <w:color w:val="010000"/>
          <w:sz w:val="20"/>
        </w:rPr>
        <w:t xml:space="preserve">PwC (Vietnam) </w:t>
      </w:r>
      <w:proofErr w:type="spellStart"/>
      <w:r>
        <w:rPr>
          <w:rFonts w:ascii="Arial" w:hAnsi="Arial"/>
          <w:color w:val="010000"/>
          <w:sz w:val="20"/>
        </w:rPr>
        <w:t>Limite</w:t>
      </w:r>
      <w:proofErr w:type="spellEnd"/>
      <w:r>
        <w:rPr>
          <w:rFonts w:ascii="Arial" w:hAnsi="Arial"/>
          <w:color w:val="010000"/>
          <w:sz w:val="20"/>
        </w:rPr>
        <w:t>;</w:t>
      </w:r>
    </w:p>
    <w:p w14:paraId="65F35365" w14:textId="77777777" w:rsidR="0037019D" w:rsidRDefault="000C3153" w:rsidP="003F6FCC">
      <w:pPr>
        <w:numPr>
          <w:ilvl w:val="0"/>
          <w:numId w:val="5"/>
        </w:numPr>
        <w:pBdr>
          <w:top w:val="nil"/>
          <w:left w:val="nil"/>
          <w:bottom w:val="nil"/>
          <w:right w:val="nil"/>
          <w:between w:val="nil"/>
        </w:pBdr>
        <w:tabs>
          <w:tab w:val="left" w:pos="180"/>
          <w:tab w:val="left" w:pos="490"/>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42D3318B" w14:textId="77777777" w:rsidR="0037019D" w:rsidRDefault="000C3153" w:rsidP="003F6FCC">
      <w:pPr>
        <w:numPr>
          <w:ilvl w:val="0"/>
          <w:numId w:val="3"/>
        </w:numPr>
        <w:pBdr>
          <w:top w:val="nil"/>
          <w:left w:val="nil"/>
          <w:bottom w:val="nil"/>
          <w:right w:val="nil"/>
          <w:between w:val="nil"/>
        </w:pBdr>
        <w:tabs>
          <w:tab w:val="left" w:pos="180"/>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General Meeting of Shareholders authorizes the Board of Directors to select one of the mentioned audit companies proposed by the Supervisory Board based on the quality and credibility and the General Manager is assigned to sign the contract of audit service provision for the Financial Statements 2024 of </w:t>
      </w:r>
      <w:proofErr w:type="spellStart"/>
      <w:r>
        <w:rPr>
          <w:rFonts w:ascii="Arial" w:hAnsi="Arial"/>
          <w:color w:val="010000"/>
          <w:sz w:val="20"/>
        </w:rPr>
        <w:t>Cholimex</w:t>
      </w:r>
      <w:proofErr w:type="spellEnd"/>
      <w:r>
        <w:rPr>
          <w:rFonts w:ascii="Arial" w:hAnsi="Arial"/>
          <w:color w:val="010000"/>
          <w:sz w:val="20"/>
        </w:rPr>
        <w:t xml:space="preserve"> Food Joint Stock Company.</w:t>
      </w:r>
    </w:p>
    <w:p w14:paraId="3B2071E5"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8: Approve the profit distribution plan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4732"/>
        <w:gridCol w:w="1858"/>
        <w:gridCol w:w="1724"/>
      </w:tblGrid>
      <w:tr w:rsidR="0037019D" w14:paraId="7D205D7B" w14:textId="77777777">
        <w:tc>
          <w:tcPr>
            <w:tcW w:w="703" w:type="dxa"/>
            <w:shd w:val="clear" w:color="auto" w:fill="auto"/>
            <w:tcMar>
              <w:top w:w="0" w:type="dxa"/>
              <w:bottom w:w="0" w:type="dxa"/>
            </w:tcMar>
            <w:vAlign w:val="center"/>
          </w:tcPr>
          <w:p w14:paraId="66BE3435"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732" w:type="dxa"/>
            <w:shd w:val="clear" w:color="auto" w:fill="auto"/>
            <w:tcMar>
              <w:top w:w="0" w:type="dxa"/>
              <w:bottom w:w="0" w:type="dxa"/>
            </w:tcMar>
            <w:vAlign w:val="center"/>
          </w:tcPr>
          <w:p w14:paraId="29E5C32D"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858" w:type="dxa"/>
            <w:shd w:val="clear" w:color="auto" w:fill="auto"/>
            <w:tcMar>
              <w:top w:w="0" w:type="dxa"/>
              <w:bottom w:w="0" w:type="dxa"/>
            </w:tcMar>
            <w:vAlign w:val="center"/>
          </w:tcPr>
          <w:p w14:paraId="6E7D5ABB"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Amount (VND)</w:t>
            </w:r>
          </w:p>
        </w:tc>
        <w:tc>
          <w:tcPr>
            <w:tcW w:w="1724" w:type="dxa"/>
            <w:shd w:val="clear" w:color="auto" w:fill="auto"/>
            <w:tcMar>
              <w:top w:w="0" w:type="dxa"/>
              <w:bottom w:w="0" w:type="dxa"/>
            </w:tcMar>
            <w:vAlign w:val="center"/>
          </w:tcPr>
          <w:p w14:paraId="5A0E996A"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Rate (%)</w:t>
            </w:r>
          </w:p>
        </w:tc>
      </w:tr>
      <w:tr w:rsidR="0037019D" w14:paraId="2438F73F" w14:textId="77777777">
        <w:tc>
          <w:tcPr>
            <w:tcW w:w="703" w:type="dxa"/>
            <w:shd w:val="clear" w:color="auto" w:fill="auto"/>
            <w:tcMar>
              <w:top w:w="0" w:type="dxa"/>
              <w:bottom w:w="0" w:type="dxa"/>
            </w:tcMar>
            <w:vAlign w:val="center"/>
          </w:tcPr>
          <w:p w14:paraId="5DAF400D"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4732" w:type="dxa"/>
            <w:shd w:val="clear" w:color="auto" w:fill="auto"/>
            <w:tcMar>
              <w:top w:w="0" w:type="dxa"/>
              <w:bottom w:w="0" w:type="dxa"/>
            </w:tcMar>
            <w:vAlign w:val="center"/>
          </w:tcPr>
          <w:p w14:paraId="2739230B"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Profit before tax in 2023</w:t>
            </w:r>
          </w:p>
        </w:tc>
        <w:tc>
          <w:tcPr>
            <w:tcW w:w="1858" w:type="dxa"/>
            <w:shd w:val="clear" w:color="auto" w:fill="auto"/>
            <w:tcMar>
              <w:top w:w="0" w:type="dxa"/>
              <w:bottom w:w="0" w:type="dxa"/>
            </w:tcMar>
            <w:vAlign w:val="center"/>
          </w:tcPr>
          <w:p w14:paraId="56021B30"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289,481,810,280</w:t>
            </w:r>
          </w:p>
        </w:tc>
        <w:tc>
          <w:tcPr>
            <w:tcW w:w="1724" w:type="dxa"/>
            <w:shd w:val="clear" w:color="auto" w:fill="auto"/>
            <w:tcMar>
              <w:top w:w="0" w:type="dxa"/>
              <w:bottom w:w="0" w:type="dxa"/>
            </w:tcMar>
            <w:vAlign w:val="center"/>
          </w:tcPr>
          <w:p w14:paraId="29D9D123"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r>
      <w:tr w:rsidR="0037019D" w14:paraId="16727657" w14:textId="77777777">
        <w:tc>
          <w:tcPr>
            <w:tcW w:w="703" w:type="dxa"/>
            <w:shd w:val="clear" w:color="auto" w:fill="auto"/>
            <w:tcMar>
              <w:top w:w="0" w:type="dxa"/>
              <w:bottom w:w="0" w:type="dxa"/>
            </w:tcMar>
            <w:vAlign w:val="center"/>
          </w:tcPr>
          <w:p w14:paraId="3871E2F6"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4732" w:type="dxa"/>
            <w:shd w:val="clear" w:color="auto" w:fill="auto"/>
            <w:tcMar>
              <w:top w:w="0" w:type="dxa"/>
              <w:bottom w:w="0" w:type="dxa"/>
            </w:tcMar>
            <w:vAlign w:val="center"/>
          </w:tcPr>
          <w:p w14:paraId="041CBE41"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Corporate income tax</w:t>
            </w:r>
          </w:p>
        </w:tc>
        <w:tc>
          <w:tcPr>
            <w:tcW w:w="1858" w:type="dxa"/>
            <w:shd w:val="clear" w:color="auto" w:fill="auto"/>
            <w:tcMar>
              <w:top w:w="0" w:type="dxa"/>
              <w:bottom w:w="0" w:type="dxa"/>
            </w:tcMar>
            <w:vAlign w:val="center"/>
          </w:tcPr>
          <w:p w14:paraId="5DBB70A5"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57,896,362,056</w:t>
            </w:r>
          </w:p>
        </w:tc>
        <w:tc>
          <w:tcPr>
            <w:tcW w:w="1724" w:type="dxa"/>
            <w:shd w:val="clear" w:color="auto" w:fill="auto"/>
            <w:tcMar>
              <w:top w:w="0" w:type="dxa"/>
              <w:bottom w:w="0" w:type="dxa"/>
            </w:tcMar>
            <w:vAlign w:val="center"/>
          </w:tcPr>
          <w:p w14:paraId="7ADD4A25"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r>
      <w:tr w:rsidR="0037019D" w14:paraId="6DF0AB25" w14:textId="77777777">
        <w:tc>
          <w:tcPr>
            <w:tcW w:w="703" w:type="dxa"/>
            <w:shd w:val="clear" w:color="auto" w:fill="auto"/>
            <w:tcMar>
              <w:top w:w="0" w:type="dxa"/>
              <w:bottom w:w="0" w:type="dxa"/>
            </w:tcMar>
            <w:vAlign w:val="center"/>
          </w:tcPr>
          <w:p w14:paraId="403295B0"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C</w:t>
            </w:r>
          </w:p>
        </w:tc>
        <w:tc>
          <w:tcPr>
            <w:tcW w:w="4732" w:type="dxa"/>
            <w:shd w:val="clear" w:color="auto" w:fill="auto"/>
            <w:tcMar>
              <w:top w:w="0" w:type="dxa"/>
              <w:bottom w:w="0" w:type="dxa"/>
            </w:tcMar>
            <w:vAlign w:val="center"/>
          </w:tcPr>
          <w:p w14:paraId="6FA54F9C"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in 2023</w:t>
            </w:r>
          </w:p>
        </w:tc>
        <w:tc>
          <w:tcPr>
            <w:tcW w:w="1858" w:type="dxa"/>
            <w:shd w:val="clear" w:color="auto" w:fill="auto"/>
            <w:tcMar>
              <w:top w:w="0" w:type="dxa"/>
              <w:bottom w:w="0" w:type="dxa"/>
            </w:tcMar>
            <w:vAlign w:val="center"/>
          </w:tcPr>
          <w:p w14:paraId="33EC093C"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231,585,448,224</w:t>
            </w:r>
          </w:p>
        </w:tc>
        <w:tc>
          <w:tcPr>
            <w:tcW w:w="1724" w:type="dxa"/>
            <w:shd w:val="clear" w:color="auto" w:fill="auto"/>
            <w:tcMar>
              <w:top w:w="0" w:type="dxa"/>
              <w:bottom w:w="0" w:type="dxa"/>
            </w:tcMar>
            <w:vAlign w:val="center"/>
          </w:tcPr>
          <w:p w14:paraId="012B1C7D"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100.00%</w:t>
            </w:r>
          </w:p>
        </w:tc>
      </w:tr>
      <w:tr w:rsidR="0037019D" w14:paraId="1E075349" w14:textId="77777777">
        <w:tc>
          <w:tcPr>
            <w:tcW w:w="703" w:type="dxa"/>
            <w:shd w:val="clear" w:color="auto" w:fill="auto"/>
            <w:tcMar>
              <w:top w:w="0" w:type="dxa"/>
              <w:bottom w:w="0" w:type="dxa"/>
            </w:tcMar>
            <w:vAlign w:val="center"/>
          </w:tcPr>
          <w:p w14:paraId="44E28C13"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4732" w:type="dxa"/>
            <w:shd w:val="clear" w:color="auto" w:fill="auto"/>
            <w:tcMar>
              <w:top w:w="0" w:type="dxa"/>
              <w:bottom w:w="0" w:type="dxa"/>
            </w:tcMar>
            <w:vAlign w:val="center"/>
          </w:tcPr>
          <w:p w14:paraId="42248DFE"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Profit distribution</w:t>
            </w:r>
          </w:p>
        </w:tc>
        <w:tc>
          <w:tcPr>
            <w:tcW w:w="1858" w:type="dxa"/>
            <w:shd w:val="clear" w:color="auto" w:fill="auto"/>
            <w:tcMar>
              <w:top w:w="0" w:type="dxa"/>
              <w:bottom w:w="0" w:type="dxa"/>
            </w:tcMar>
            <w:vAlign w:val="center"/>
          </w:tcPr>
          <w:p w14:paraId="0F6821FE"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1724" w:type="dxa"/>
            <w:shd w:val="clear" w:color="auto" w:fill="auto"/>
            <w:tcMar>
              <w:top w:w="0" w:type="dxa"/>
              <w:bottom w:w="0" w:type="dxa"/>
            </w:tcMar>
            <w:vAlign w:val="center"/>
          </w:tcPr>
          <w:p w14:paraId="28ECC326"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r>
      <w:tr w:rsidR="0037019D" w14:paraId="0DE5DFF1" w14:textId="77777777">
        <w:tc>
          <w:tcPr>
            <w:tcW w:w="703" w:type="dxa"/>
            <w:shd w:val="clear" w:color="auto" w:fill="auto"/>
            <w:tcMar>
              <w:top w:w="0" w:type="dxa"/>
              <w:bottom w:w="0" w:type="dxa"/>
            </w:tcMar>
            <w:vAlign w:val="center"/>
          </w:tcPr>
          <w:p w14:paraId="1A12E021"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732" w:type="dxa"/>
            <w:shd w:val="clear" w:color="auto" w:fill="auto"/>
            <w:tcMar>
              <w:top w:w="0" w:type="dxa"/>
              <w:bottom w:w="0" w:type="dxa"/>
            </w:tcMar>
            <w:vAlign w:val="center"/>
          </w:tcPr>
          <w:p w14:paraId="612D05D6"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Remuneration and operating expenses for the Board of Directors and the Supervisory Board.</w:t>
            </w:r>
          </w:p>
        </w:tc>
        <w:tc>
          <w:tcPr>
            <w:tcW w:w="1858" w:type="dxa"/>
            <w:shd w:val="clear" w:color="auto" w:fill="auto"/>
            <w:tcMar>
              <w:top w:w="0" w:type="dxa"/>
              <w:bottom w:w="0" w:type="dxa"/>
            </w:tcMar>
            <w:vAlign w:val="center"/>
          </w:tcPr>
          <w:p w14:paraId="1745D742"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400,000,000</w:t>
            </w:r>
          </w:p>
        </w:tc>
        <w:tc>
          <w:tcPr>
            <w:tcW w:w="1724" w:type="dxa"/>
            <w:shd w:val="clear" w:color="auto" w:fill="auto"/>
            <w:tcMar>
              <w:top w:w="0" w:type="dxa"/>
              <w:bottom w:w="0" w:type="dxa"/>
            </w:tcMar>
            <w:vAlign w:val="center"/>
          </w:tcPr>
          <w:p w14:paraId="6D5FC3C2"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0.17%</w:t>
            </w:r>
          </w:p>
        </w:tc>
      </w:tr>
      <w:tr w:rsidR="0037019D" w14:paraId="57C7F09F" w14:textId="77777777">
        <w:tc>
          <w:tcPr>
            <w:tcW w:w="703" w:type="dxa"/>
            <w:shd w:val="clear" w:color="auto" w:fill="auto"/>
            <w:tcMar>
              <w:top w:w="0" w:type="dxa"/>
              <w:bottom w:w="0" w:type="dxa"/>
            </w:tcMar>
            <w:vAlign w:val="center"/>
          </w:tcPr>
          <w:p w14:paraId="46CCDAC5"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732" w:type="dxa"/>
            <w:shd w:val="clear" w:color="auto" w:fill="auto"/>
            <w:tcMar>
              <w:top w:w="0" w:type="dxa"/>
              <w:bottom w:w="0" w:type="dxa"/>
            </w:tcMar>
            <w:vAlign w:val="center"/>
          </w:tcPr>
          <w:p w14:paraId="3BF19693"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Bonus for the Executive Board and managerial personnel</w:t>
            </w:r>
          </w:p>
        </w:tc>
        <w:tc>
          <w:tcPr>
            <w:tcW w:w="1858" w:type="dxa"/>
            <w:shd w:val="clear" w:color="auto" w:fill="auto"/>
            <w:tcMar>
              <w:top w:w="0" w:type="dxa"/>
              <w:bottom w:w="0" w:type="dxa"/>
            </w:tcMar>
            <w:vAlign w:val="center"/>
          </w:tcPr>
          <w:p w14:paraId="3E2A6B88"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14,100,000,000</w:t>
            </w:r>
          </w:p>
        </w:tc>
        <w:tc>
          <w:tcPr>
            <w:tcW w:w="1724" w:type="dxa"/>
            <w:shd w:val="clear" w:color="auto" w:fill="auto"/>
            <w:tcMar>
              <w:top w:w="0" w:type="dxa"/>
              <w:bottom w:w="0" w:type="dxa"/>
            </w:tcMar>
            <w:vAlign w:val="center"/>
          </w:tcPr>
          <w:p w14:paraId="7C6C09FC"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6.09%</w:t>
            </w:r>
          </w:p>
        </w:tc>
      </w:tr>
      <w:tr w:rsidR="0037019D" w14:paraId="3079D541" w14:textId="77777777">
        <w:tc>
          <w:tcPr>
            <w:tcW w:w="703" w:type="dxa"/>
            <w:shd w:val="clear" w:color="auto" w:fill="auto"/>
            <w:tcMar>
              <w:top w:w="0" w:type="dxa"/>
              <w:bottom w:w="0" w:type="dxa"/>
            </w:tcMar>
            <w:vAlign w:val="center"/>
          </w:tcPr>
          <w:p w14:paraId="2C66E924"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732" w:type="dxa"/>
            <w:shd w:val="clear" w:color="auto" w:fill="auto"/>
            <w:tcMar>
              <w:top w:w="0" w:type="dxa"/>
              <w:bottom w:w="0" w:type="dxa"/>
            </w:tcMar>
            <w:vAlign w:val="center"/>
          </w:tcPr>
          <w:p w14:paraId="030ADAB4"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Dividend payment in cash (50%/Charter capital)</w:t>
            </w:r>
          </w:p>
        </w:tc>
        <w:tc>
          <w:tcPr>
            <w:tcW w:w="1858" w:type="dxa"/>
            <w:shd w:val="clear" w:color="auto" w:fill="auto"/>
            <w:tcMar>
              <w:top w:w="0" w:type="dxa"/>
              <w:bottom w:w="0" w:type="dxa"/>
            </w:tcMar>
            <w:vAlign w:val="center"/>
          </w:tcPr>
          <w:p w14:paraId="5274EFF3"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40,500,000,000</w:t>
            </w:r>
          </w:p>
        </w:tc>
        <w:tc>
          <w:tcPr>
            <w:tcW w:w="1724" w:type="dxa"/>
            <w:shd w:val="clear" w:color="auto" w:fill="auto"/>
            <w:tcMar>
              <w:top w:w="0" w:type="dxa"/>
              <w:bottom w:w="0" w:type="dxa"/>
            </w:tcMar>
            <w:vAlign w:val="center"/>
          </w:tcPr>
          <w:p w14:paraId="6B261ED6"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17.49%</w:t>
            </w:r>
          </w:p>
        </w:tc>
      </w:tr>
      <w:tr w:rsidR="0037019D" w14:paraId="57E5365C" w14:textId="77777777">
        <w:tc>
          <w:tcPr>
            <w:tcW w:w="703" w:type="dxa"/>
            <w:shd w:val="clear" w:color="auto" w:fill="auto"/>
            <w:tcMar>
              <w:top w:w="0" w:type="dxa"/>
              <w:bottom w:w="0" w:type="dxa"/>
            </w:tcMar>
            <w:vAlign w:val="center"/>
          </w:tcPr>
          <w:p w14:paraId="4CF6EC77"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4732" w:type="dxa"/>
            <w:shd w:val="clear" w:color="auto" w:fill="auto"/>
            <w:tcMar>
              <w:top w:w="0" w:type="dxa"/>
              <w:bottom w:w="0" w:type="dxa"/>
            </w:tcMar>
            <w:vAlign w:val="center"/>
          </w:tcPr>
          <w:p w14:paraId="37DA6081"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Welfare fund</w:t>
            </w:r>
          </w:p>
        </w:tc>
        <w:tc>
          <w:tcPr>
            <w:tcW w:w="1858" w:type="dxa"/>
            <w:shd w:val="clear" w:color="auto" w:fill="auto"/>
            <w:tcMar>
              <w:top w:w="0" w:type="dxa"/>
              <w:bottom w:w="0" w:type="dxa"/>
            </w:tcMar>
            <w:vAlign w:val="center"/>
          </w:tcPr>
          <w:p w14:paraId="4FB51572"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11,579,272,411</w:t>
            </w:r>
          </w:p>
        </w:tc>
        <w:tc>
          <w:tcPr>
            <w:tcW w:w="1724" w:type="dxa"/>
            <w:shd w:val="clear" w:color="auto" w:fill="auto"/>
            <w:tcMar>
              <w:top w:w="0" w:type="dxa"/>
              <w:bottom w:w="0" w:type="dxa"/>
            </w:tcMar>
            <w:vAlign w:val="center"/>
          </w:tcPr>
          <w:p w14:paraId="7104956C"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5.00%</w:t>
            </w:r>
          </w:p>
        </w:tc>
      </w:tr>
      <w:tr w:rsidR="0037019D" w14:paraId="5B7A707D" w14:textId="77777777">
        <w:tc>
          <w:tcPr>
            <w:tcW w:w="703" w:type="dxa"/>
            <w:shd w:val="clear" w:color="auto" w:fill="auto"/>
            <w:tcMar>
              <w:top w:w="0" w:type="dxa"/>
              <w:bottom w:w="0" w:type="dxa"/>
            </w:tcMar>
            <w:vAlign w:val="center"/>
          </w:tcPr>
          <w:p w14:paraId="0F635771"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4732" w:type="dxa"/>
            <w:shd w:val="clear" w:color="auto" w:fill="auto"/>
            <w:tcMar>
              <w:top w:w="0" w:type="dxa"/>
              <w:bottom w:w="0" w:type="dxa"/>
            </w:tcMar>
            <w:vAlign w:val="center"/>
          </w:tcPr>
          <w:p w14:paraId="711E52BB"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Total remaining profit</w:t>
            </w:r>
          </w:p>
        </w:tc>
        <w:tc>
          <w:tcPr>
            <w:tcW w:w="1858" w:type="dxa"/>
            <w:shd w:val="clear" w:color="auto" w:fill="auto"/>
            <w:tcMar>
              <w:top w:w="0" w:type="dxa"/>
              <w:bottom w:w="0" w:type="dxa"/>
            </w:tcMar>
            <w:vAlign w:val="center"/>
          </w:tcPr>
          <w:p w14:paraId="3358B11E"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165,006,175,813</w:t>
            </w:r>
          </w:p>
        </w:tc>
        <w:tc>
          <w:tcPr>
            <w:tcW w:w="1724" w:type="dxa"/>
            <w:shd w:val="clear" w:color="auto" w:fill="auto"/>
            <w:tcMar>
              <w:top w:w="0" w:type="dxa"/>
              <w:bottom w:w="0" w:type="dxa"/>
            </w:tcMar>
            <w:vAlign w:val="center"/>
          </w:tcPr>
          <w:p w14:paraId="6C8F9600"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71.25%</w:t>
            </w:r>
          </w:p>
        </w:tc>
      </w:tr>
    </w:tbl>
    <w:p w14:paraId="033A5A3C"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9: Approve the profit distribution plan in 2024.</w:t>
      </w:r>
    </w:p>
    <w:tbl>
      <w:tblPr>
        <w:tblStyle w:val="a0"/>
        <w:tblW w:w="9017" w:type="dxa"/>
        <w:tblLayout w:type="fixed"/>
        <w:tblLook w:val="0400" w:firstRow="0" w:lastRow="0" w:firstColumn="0" w:lastColumn="0" w:noHBand="0" w:noVBand="1"/>
      </w:tblPr>
      <w:tblGrid>
        <w:gridCol w:w="639"/>
        <w:gridCol w:w="4458"/>
        <w:gridCol w:w="1832"/>
        <w:gridCol w:w="2088"/>
      </w:tblGrid>
      <w:tr w:rsidR="0037019D" w14:paraId="64F61B5C"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70A455B5"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4458" w:type="dxa"/>
            <w:tcBorders>
              <w:top w:val="single" w:sz="4" w:space="0" w:color="000000"/>
              <w:left w:val="single" w:sz="4" w:space="0" w:color="000000"/>
            </w:tcBorders>
            <w:shd w:val="clear" w:color="auto" w:fill="auto"/>
            <w:tcMar>
              <w:top w:w="0" w:type="dxa"/>
              <w:bottom w:w="0" w:type="dxa"/>
            </w:tcMar>
            <w:vAlign w:val="center"/>
          </w:tcPr>
          <w:p w14:paraId="6B78FD82"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Explanation</w:t>
            </w:r>
          </w:p>
        </w:tc>
        <w:tc>
          <w:tcPr>
            <w:tcW w:w="1832" w:type="dxa"/>
            <w:tcBorders>
              <w:top w:val="single" w:sz="4" w:space="0" w:color="000000"/>
              <w:left w:val="single" w:sz="4" w:space="0" w:color="000000"/>
            </w:tcBorders>
            <w:shd w:val="clear" w:color="auto" w:fill="auto"/>
            <w:tcMar>
              <w:top w:w="0" w:type="dxa"/>
              <w:bottom w:w="0" w:type="dxa"/>
            </w:tcMar>
            <w:vAlign w:val="center"/>
          </w:tcPr>
          <w:p w14:paraId="1BA265A1"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Amount (VND)</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219FA4"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Distribution plan</w:t>
            </w:r>
          </w:p>
        </w:tc>
      </w:tr>
      <w:tr w:rsidR="0037019D" w14:paraId="3C4FEB81"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50848EE2"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A</w:t>
            </w:r>
          </w:p>
        </w:tc>
        <w:tc>
          <w:tcPr>
            <w:tcW w:w="4458" w:type="dxa"/>
            <w:tcBorders>
              <w:top w:val="single" w:sz="4" w:space="0" w:color="000000"/>
              <w:left w:val="single" w:sz="4" w:space="0" w:color="000000"/>
            </w:tcBorders>
            <w:shd w:val="clear" w:color="auto" w:fill="auto"/>
            <w:tcMar>
              <w:top w:w="0" w:type="dxa"/>
              <w:bottom w:w="0" w:type="dxa"/>
            </w:tcMar>
            <w:vAlign w:val="center"/>
          </w:tcPr>
          <w:p w14:paraId="086A549D"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Profit before tax in 2024 (1)</w:t>
            </w:r>
          </w:p>
        </w:tc>
        <w:tc>
          <w:tcPr>
            <w:tcW w:w="1832" w:type="dxa"/>
            <w:tcBorders>
              <w:top w:val="single" w:sz="4" w:space="0" w:color="000000"/>
              <w:left w:val="single" w:sz="4" w:space="0" w:color="000000"/>
            </w:tcBorders>
            <w:shd w:val="clear" w:color="auto" w:fill="auto"/>
            <w:tcMar>
              <w:top w:w="0" w:type="dxa"/>
              <w:bottom w:w="0" w:type="dxa"/>
            </w:tcMar>
            <w:vAlign w:val="center"/>
          </w:tcPr>
          <w:p w14:paraId="723CBCB6"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320,000,000,000</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207C5E" w14:textId="77777777" w:rsidR="0037019D" w:rsidRDefault="0037019D"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p>
        </w:tc>
      </w:tr>
      <w:tr w:rsidR="0037019D" w14:paraId="3B8A8AD0"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610A8708"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B</w:t>
            </w:r>
          </w:p>
        </w:tc>
        <w:tc>
          <w:tcPr>
            <w:tcW w:w="4458" w:type="dxa"/>
            <w:tcBorders>
              <w:top w:val="single" w:sz="4" w:space="0" w:color="000000"/>
              <w:left w:val="single" w:sz="4" w:space="0" w:color="000000"/>
            </w:tcBorders>
            <w:shd w:val="clear" w:color="auto" w:fill="auto"/>
            <w:tcMar>
              <w:top w:w="0" w:type="dxa"/>
              <w:bottom w:w="0" w:type="dxa"/>
            </w:tcMar>
            <w:vAlign w:val="center"/>
          </w:tcPr>
          <w:p w14:paraId="6BEB2F92"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Corporate income tax (2)</w:t>
            </w:r>
          </w:p>
        </w:tc>
        <w:tc>
          <w:tcPr>
            <w:tcW w:w="1832" w:type="dxa"/>
            <w:tcBorders>
              <w:top w:val="single" w:sz="4" w:space="0" w:color="000000"/>
              <w:left w:val="single" w:sz="4" w:space="0" w:color="000000"/>
            </w:tcBorders>
            <w:shd w:val="clear" w:color="auto" w:fill="auto"/>
            <w:tcMar>
              <w:top w:w="0" w:type="dxa"/>
              <w:bottom w:w="0" w:type="dxa"/>
            </w:tcMar>
            <w:vAlign w:val="center"/>
          </w:tcPr>
          <w:p w14:paraId="388CE2EF"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64,000,000,000</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EABE13" w14:textId="77777777" w:rsidR="0037019D" w:rsidRDefault="0037019D"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p>
        </w:tc>
      </w:tr>
      <w:tr w:rsidR="0037019D" w14:paraId="4EBD2F20"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4CFC11F9"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c</w:t>
            </w:r>
          </w:p>
        </w:tc>
        <w:tc>
          <w:tcPr>
            <w:tcW w:w="4458" w:type="dxa"/>
            <w:tcBorders>
              <w:top w:val="single" w:sz="4" w:space="0" w:color="000000"/>
              <w:left w:val="single" w:sz="4" w:space="0" w:color="000000"/>
            </w:tcBorders>
            <w:shd w:val="clear" w:color="auto" w:fill="auto"/>
            <w:tcMar>
              <w:top w:w="0" w:type="dxa"/>
              <w:bottom w:w="0" w:type="dxa"/>
            </w:tcMar>
            <w:vAlign w:val="center"/>
          </w:tcPr>
          <w:p w14:paraId="7D4A5113"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Undistributed profit after tax in 2024 (3)</w:t>
            </w:r>
          </w:p>
        </w:tc>
        <w:tc>
          <w:tcPr>
            <w:tcW w:w="1832" w:type="dxa"/>
            <w:tcBorders>
              <w:top w:val="single" w:sz="4" w:space="0" w:color="000000"/>
              <w:left w:val="single" w:sz="4" w:space="0" w:color="000000"/>
            </w:tcBorders>
            <w:shd w:val="clear" w:color="auto" w:fill="auto"/>
            <w:tcMar>
              <w:top w:w="0" w:type="dxa"/>
              <w:bottom w:w="0" w:type="dxa"/>
            </w:tcMar>
            <w:vAlign w:val="center"/>
          </w:tcPr>
          <w:p w14:paraId="27153B04"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256,000,000,000</w:t>
            </w: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85DEB1"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r>
      <w:tr w:rsidR="0037019D" w14:paraId="2317B8E5"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4AC5BE29"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4458" w:type="dxa"/>
            <w:tcBorders>
              <w:top w:val="single" w:sz="4" w:space="0" w:color="000000"/>
              <w:left w:val="single" w:sz="4" w:space="0" w:color="000000"/>
            </w:tcBorders>
            <w:shd w:val="clear" w:color="auto" w:fill="auto"/>
            <w:tcMar>
              <w:top w:w="0" w:type="dxa"/>
              <w:bottom w:w="0" w:type="dxa"/>
            </w:tcMar>
            <w:vAlign w:val="center"/>
          </w:tcPr>
          <w:p w14:paraId="1F1CF513"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Profit distribution</w:t>
            </w:r>
          </w:p>
        </w:tc>
        <w:tc>
          <w:tcPr>
            <w:tcW w:w="1832" w:type="dxa"/>
            <w:tcBorders>
              <w:top w:val="single" w:sz="4" w:space="0" w:color="000000"/>
              <w:left w:val="single" w:sz="4" w:space="0" w:color="000000"/>
            </w:tcBorders>
            <w:shd w:val="clear" w:color="auto" w:fill="auto"/>
            <w:tcMar>
              <w:top w:w="0" w:type="dxa"/>
              <w:bottom w:w="0" w:type="dxa"/>
            </w:tcMar>
            <w:vAlign w:val="center"/>
          </w:tcPr>
          <w:p w14:paraId="34F2AD00"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E39D55"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r>
      <w:tr w:rsidR="0037019D" w14:paraId="00CDC2EB"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601CFC0F"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4458" w:type="dxa"/>
            <w:tcBorders>
              <w:top w:val="single" w:sz="4" w:space="0" w:color="000000"/>
              <w:left w:val="single" w:sz="4" w:space="0" w:color="000000"/>
            </w:tcBorders>
            <w:shd w:val="clear" w:color="auto" w:fill="auto"/>
            <w:tcMar>
              <w:top w:w="0" w:type="dxa"/>
              <w:bottom w:w="0" w:type="dxa"/>
            </w:tcMar>
            <w:vAlign w:val="center"/>
          </w:tcPr>
          <w:p w14:paraId="52FEC79B"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Dividend payment in cash (4)</w:t>
            </w:r>
          </w:p>
        </w:tc>
        <w:tc>
          <w:tcPr>
            <w:tcW w:w="1832" w:type="dxa"/>
            <w:tcBorders>
              <w:top w:val="single" w:sz="4" w:space="0" w:color="000000"/>
              <w:left w:val="single" w:sz="4" w:space="0" w:color="000000"/>
            </w:tcBorders>
            <w:shd w:val="clear" w:color="auto" w:fill="auto"/>
            <w:tcMar>
              <w:top w:w="0" w:type="dxa"/>
              <w:bottom w:w="0" w:type="dxa"/>
            </w:tcMar>
            <w:vAlign w:val="center"/>
          </w:tcPr>
          <w:p w14:paraId="133C5E54"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FB67E7"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15% per par value or more.</w:t>
            </w:r>
          </w:p>
        </w:tc>
      </w:tr>
      <w:tr w:rsidR="0037019D" w14:paraId="54EFFA88" w14:textId="77777777">
        <w:tc>
          <w:tcPr>
            <w:tcW w:w="639" w:type="dxa"/>
            <w:tcBorders>
              <w:top w:val="single" w:sz="4" w:space="0" w:color="000000"/>
              <w:left w:val="single" w:sz="4" w:space="0" w:color="000000"/>
            </w:tcBorders>
            <w:shd w:val="clear" w:color="auto" w:fill="auto"/>
            <w:tcMar>
              <w:top w:w="0" w:type="dxa"/>
              <w:bottom w:w="0" w:type="dxa"/>
            </w:tcMar>
            <w:vAlign w:val="center"/>
          </w:tcPr>
          <w:p w14:paraId="70BB551C"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4458" w:type="dxa"/>
            <w:tcBorders>
              <w:top w:val="single" w:sz="4" w:space="0" w:color="000000"/>
              <w:left w:val="single" w:sz="4" w:space="0" w:color="000000"/>
            </w:tcBorders>
            <w:shd w:val="clear" w:color="auto" w:fill="auto"/>
            <w:tcMar>
              <w:top w:w="0" w:type="dxa"/>
              <w:bottom w:w="0" w:type="dxa"/>
            </w:tcMar>
            <w:vAlign w:val="center"/>
          </w:tcPr>
          <w:p w14:paraId="5DBD05A9"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Other distribution plans as per the proposal of the Board of Directors (5)</w:t>
            </w:r>
          </w:p>
        </w:tc>
        <w:tc>
          <w:tcPr>
            <w:tcW w:w="1832" w:type="dxa"/>
            <w:tcBorders>
              <w:top w:val="single" w:sz="4" w:space="0" w:color="000000"/>
              <w:left w:val="single" w:sz="4" w:space="0" w:color="000000"/>
            </w:tcBorders>
            <w:shd w:val="clear" w:color="auto" w:fill="auto"/>
            <w:tcMar>
              <w:top w:w="0" w:type="dxa"/>
              <w:bottom w:w="0" w:type="dxa"/>
            </w:tcMar>
            <w:vAlign w:val="center"/>
          </w:tcPr>
          <w:p w14:paraId="378F1EC1"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208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89B9D58"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r>
      <w:tr w:rsidR="0037019D" w14:paraId="03B2B4F5" w14:textId="77777777">
        <w:tc>
          <w:tcPr>
            <w:tcW w:w="63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6B0AC7"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445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891FD4"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Total remaining profit</w:t>
            </w:r>
          </w:p>
        </w:tc>
        <w:tc>
          <w:tcPr>
            <w:tcW w:w="183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596CFF3" w14:textId="77777777" w:rsidR="0037019D" w:rsidRDefault="0037019D" w:rsidP="003F6FCC">
            <w:pPr>
              <w:tabs>
                <w:tab w:val="left" w:pos="180"/>
              </w:tabs>
              <w:spacing w:after="120" w:line="360" w:lineRule="auto"/>
              <w:jc w:val="center"/>
              <w:rPr>
                <w:rFonts w:ascii="Arial" w:eastAsia="Arial" w:hAnsi="Arial" w:cs="Arial"/>
                <w:color w:val="010000"/>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5B45F23" w14:textId="77777777" w:rsidR="0037019D" w:rsidRDefault="000C3153" w:rsidP="003F6FCC">
            <w:pPr>
              <w:pBdr>
                <w:top w:val="nil"/>
                <w:left w:val="nil"/>
                <w:bottom w:val="nil"/>
                <w:right w:val="nil"/>
                <w:between w:val="nil"/>
              </w:pBdr>
              <w:tabs>
                <w:tab w:val="left" w:pos="180"/>
              </w:tabs>
              <w:spacing w:after="120" w:line="360" w:lineRule="auto"/>
              <w:jc w:val="center"/>
              <w:rPr>
                <w:rFonts w:ascii="Arial" w:eastAsia="Arial" w:hAnsi="Arial" w:cs="Arial"/>
                <w:color w:val="010000"/>
                <w:sz w:val="20"/>
                <w:szCs w:val="20"/>
              </w:rPr>
            </w:pPr>
            <w:r>
              <w:rPr>
                <w:rFonts w:ascii="Arial" w:hAnsi="Arial"/>
                <w:color w:val="010000"/>
                <w:sz w:val="20"/>
              </w:rPr>
              <w:t>(6) = (3) - ((4)+(5))</w:t>
            </w:r>
          </w:p>
        </w:tc>
      </w:tr>
    </w:tbl>
    <w:p w14:paraId="79D4DC6A"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 xml:space="preserve">Article 10: Approve the remuneration and operating expenses for the Board of Directors and the Supervisory Board in 2024. VND 800,000,000  </w:t>
      </w:r>
    </w:p>
    <w:p w14:paraId="7618BE4C" w14:textId="06EE4E70"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11: The Board of Directors, the Board of Managers</w:t>
      </w:r>
      <w:r w:rsidR="003F6FCC">
        <w:rPr>
          <w:rFonts w:ascii="Arial" w:hAnsi="Arial"/>
          <w:color w:val="010000"/>
          <w:sz w:val="20"/>
        </w:rPr>
        <w:t>,</w:t>
      </w:r>
      <w:r>
        <w:rPr>
          <w:rFonts w:ascii="Arial" w:hAnsi="Arial"/>
          <w:color w:val="010000"/>
          <w:sz w:val="20"/>
        </w:rPr>
        <w:t xml:space="preserve"> and </w:t>
      </w:r>
      <w:r w:rsidR="003F6FCC">
        <w:rPr>
          <w:rFonts w:ascii="Arial" w:hAnsi="Arial"/>
          <w:color w:val="010000"/>
          <w:sz w:val="20"/>
        </w:rPr>
        <w:t xml:space="preserve">the </w:t>
      </w:r>
      <w:bookmarkStart w:id="0" w:name="_GoBack"/>
      <w:bookmarkEnd w:id="0"/>
      <w:r>
        <w:rPr>
          <w:rFonts w:ascii="Arial" w:hAnsi="Arial"/>
          <w:color w:val="010000"/>
          <w:sz w:val="20"/>
        </w:rPr>
        <w:t>shareholders are responsible for the implementation of this General Mandate.</w:t>
      </w:r>
    </w:p>
    <w:p w14:paraId="2E496A1D" w14:textId="77777777" w:rsidR="0037019D" w:rsidRDefault="000C3153" w:rsidP="003F6FCC">
      <w:pPr>
        <w:pBdr>
          <w:top w:val="nil"/>
          <w:left w:val="nil"/>
          <w:bottom w:val="nil"/>
          <w:right w:val="nil"/>
          <w:between w:val="nil"/>
        </w:pBdr>
        <w:tabs>
          <w:tab w:val="left" w:pos="180"/>
        </w:tabs>
        <w:spacing w:after="120" w:line="360" w:lineRule="auto"/>
        <w:jc w:val="both"/>
        <w:rPr>
          <w:rFonts w:ascii="Arial" w:eastAsia="Arial" w:hAnsi="Arial" w:cs="Arial"/>
          <w:color w:val="010000"/>
          <w:sz w:val="20"/>
          <w:szCs w:val="20"/>
        </w:rPr>
      </w:pPr>
      <w:r>
        <w:rPr>
          <w:rFonts w:ascii="Arial" w:hAnsi="Arial"/>
          <w:color w:val="010000"/>
          <w:sz w:val="20"/>
        </w:rPr>
        <w:t>Article 12: This General Mandate takes effect from the date of its signing.</w:t>
      </w:r>
    </w:p>
    <w:sectPr w:rsidR="0037019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3AA1"/>
    <w:multiLevelType w:val="multilevel"/>
    <w:tmpl w:val="D5F806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B30AA2"/>
    <w:multiLevelType w:val="multilevel"/>
    <w:tmpl w:val="323C7B1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7063DDB"/>
    <w:multiLevelType w:val="multilevel"/>
    <w:tmpl w:val="69DEC3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CD0451"/>
    <w:multiLevelType w:val="multilevel"/>
    <w:tmpl w:val="7A8836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1E1B43"/>
    <w:multiLevelType w:val="multilevel"/>
    <w:tmpl w:val="0EE861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9D"/>
    <w:rsid w:val="000C3153"/>
    <w:rsid w:val="0037019D"/>
    <w:rsid w:val="003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3B89F"/>
  <w15:docId w15:val="{D97B6952-71F3-494F-9007-B0030855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02E51"/>
      <w:sz w:val="17"/>
      <w:szCs w:val="17"/>
      <w:u w:val="none"/>
    </w:rPr>
  </w:style>
  <w:style w:type="character" w:customStyle="1" w:styleId="Bodytext5">
    <w:name w:val="Body text (5)_"/>
    <w:basedOn w:val="DefaultParagraphFont"/>
    <w:link w:val="Bodytext50"/>
    <w:rPr>
      <w:rFonts w:ascii="SimSun" w:eastAsia="SimSun" w:hAnsi="SimSun" w:cs="SimSun"/>
      <w:b w:val="0"/>
      <w:bCs w:val="0"/>
      <w:i w:val="0"/>
      <w:iCs w:val="0"/>
      <w:smallCaps w:val="0"/>
      <w:strike w:val="0"/>
      <w:color w:val="D02E51"/>
      <w:sz w:val="24"/>
      <w:szCs w:val="24"/>
      <w:u w:val="none"/>
    </w:rPr>
  </w:style>
  <w:style w:type="character" w:customStyle="1" w:styleId="Heading10">
    <w:name w:val="Heading #1_"/>
    <w:basedOn w:val="DefaultParagraphFont"/>
    <w:link w:val="Heading11"/>
    <w:rPr>
      <w:b w:val="0"/>
      <w:bCs w:val="0"/>
      <w:i w:val="0"/>
      <w:iCs w:val="0"/>
      <w:smallCaps w:val="0"/>
      <w:strike w:val="0"/>
      <w:color w:val="D02E51"/>
      <w:sz w:val="52"/>
      <w:szCs w:val="5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F2631"/>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F2631"/>
      <w:sz w:val="20"/>
      <w:szCs w:val="20"/>
      <w:u w:val="none"/>
    </w:rPr>
  </w:style>
  <w:style w:type="paragraph" w:customStyle="1" w:styleId="Bodytext30">
    <w:name w:val="Body text (3)"/>
    <w:basedOn w:val="Normal"/>
    <w:link w:val="Bodytext3"/>
    <w:rPr>
      <w:rFonts w:ascii="Arial" w:eastAsia="Arial" w:hAnsi="Arial" w:cs="Arial"/>
      <w:sz w:val="26"/>
      <w:szCs w:val="26"/>
    </w:rPr>
  </w:style>
  <w:style w:type="paragraph" w:styleId="BodyText">
    <w:name w:val="Body Text"/>
    <w:basedOn w:val="Normal"/>
    <w:link w:val="BodyTextChar"/>
    <w:qFormat/>
    <w:pPr>
      <w:spacing w:line="262" w:lineRule="auto"/>
    </w:pPr>
    <w:rPr>
      <w:rFonts w:ascii="Times New Roman" w:eastAsia="Times New Roman" w:hAnsi="Times New Roman" w:cs="Times New Roman"/>
    </w:rPr>
  </w:style>
  <w:style w:type="paragraph" w:customStyle="1" w:styleId="Bodytext40">
    <w:name w:val="Body text (4)"/>
    <w:basedOn w:val="Normal"/>
    <w:link w:val="Bodytext4"/>
    <w:pPr>
      <w:jc w:val="right"/>
    </w:pPr>
    <w:rPr>
      <w:rFonts w:ascii="Arial" w:eastAsia="Arial" w:hAnsi="Arial" w:cs="Arial"/>
      <w:color w:val="D02E51"/>
      <w:sz w:val="17"/>
      <w:szCs w:val="17"/>
    </w:rPr>
  </w:style>
  <w:style w:type="paragraph" w:customStyle="1" w:styleId="Bodytext50">
    <w:name w:val="Body text (5)"/>
    <w:basedOn w:val="Normal"/>
    <w:link w:val="Bodytext5"/>
    <w:pPr>
      <w:jc w:val="right"/>
    </w:pPr>
    <w:rPr>
      <w:rFonts w:ascii="SimSun" w:eastAsia="SimSun" w:hAnsi="SimSun" w:cs="SimSun"/>
      <w:color w:val="D02E51"/>
    </w:rPr>
  </w:style>
  <w:style w:type="paragraph" w:customStyle="1" w:styleId="Heading11">
    <w:name w:val="Heading #1"/>
    <w:basedOn w:val="Normal"/>
    <w:link w:val="Heading10"/>
    <w:pPr>
      <w:ind w:left="-20"/>
      <w:jc w:val="center"/>
      <w:outlineLvl w:val="0"/>
    </w:pPr>
    <w:rPr>
      <w:color w:val="D02E51"/>
      <w:sz w:val="52"/>
      <w:szCs w:val="52"/>
    </w:rPr>
  </w:style>
  <w:style w:type="paragraph" w:customStyle="1" w:styleId="Tablecaption0">
    <w:name w:val="Table caption"/>
    <w:basedOn w:val="Normal"/>
    <w:link w:val="Tablecaption"/>
    <w:pPr>
      <w:spacing w:line="252" w:lineRule="auto"/>
    </w:pPr>
    <w:rPr>
      <w:rFonts w:ascii="Times New Roman" w:eastAsia="Times New Roman" w:hAnsi="Times New Roman" w:cs="Times New Roman"/>
      <w:color w:val="2F2631"/>
    </w:rPr>
  </w:style>
  <w:style w:type="paragraph" w:customStyle="1" w:styleId="Other0">
    <w:name w:val="Other"/>
    <w:basedOn w:val="Normal"/>
    <w:link w:val="Other"/>
    <w:pPr>
      <w:spacing w:line="262" w:lineRule="auto"/>
    </w:pPr>
    <w:rPr>
      <w:rFonts w:ascii="Times New Roman" w:eastAsia="Times New Roman" w:hAnsi="Times New Roman" w:cs="Times New Roman"/>
    </w:rPr>
  </w:style>
  <w:style w:type="paragraph" w:customStyle="1" w:styleId="Bodytext20">
    <w:name w:val="Body text (2)"/>
    <w:basedOn w:val="Normal"/>
    <w:link w:val="Bodytext2"/>
    <w:pPr>
      <w:ind w:firstLine="360"/>
    </w:pPr>
    <w:rPr>
      <w:rFonts w:ascii="Times New Roman" w:eastAsia="Times New Roman" w:hAnsi="Times New Roman" w:cs="Times New Roman"/>
      <w:color w:val="2F2631"/>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5jiQ93jX81TDMtBItR+htH2Nrw==">CgMxLjA4AHIhMVgxTGh3ajFZaXE3SGNDak9nZHlIUl81ak9OQUNiN1pF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2732</Characters>
  <Application>Microsoft Office Word</Application>
  <DocSecurity>0</DocSecurity>
  <Lines>113</Lines>
  <Paragraphs>95</Paragraphs>
  <ScaleCrop>false</ScaleCrop>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PCIT</dc:creator>
  <cp:lastModifiedBy>Nguyen Thi Quynh Trang</cp:lastModifiedBy>
  <cp:revision>3</cp:revision>
  <dcterms:created xsi:type="dcterms:W3CDTF">2024-04-29T07:41:00Z</dcterms:created>
  <dcterms:modified xsi:type="dcterms:W3CDTF">2024-05-03T08:22:00Z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dcf5e758ff2236a47ecd62be04244d6d25ee726a6dc6178628b7a9d918ede3d5</vt:lpwstr>
  </property>
</Properties>
</file>