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9608D" w14:textId="77777777" w:rsidR="00B63AB9" w:rsidRPr="00075752" w:rsidRDefault="00BE41CB" w:rsidP="00075752">
      <w:pPr>
        <w:keepNext/>
        <w:pBdr>
          <w:top w:val="nil"/>
          <w:left w:val="nil"/>
          <w:bottom w:val="nil"/>
          <w:right w:val="nil"/>
          <w:between w:val="nil"/>
        </w:pBdr>
        <w:tabs>
          <w:tab w:val="left" w:pos="360"/>
          <w:tab w:val="left" w:pos="810"/>
          <w:tab w:val="left" w:pos="6514"/>
        </w:tabs>
        <w:spacing w:after="120" w:line="360" w:lineRule="auto"/>
        <w:jc w:val="both"/>
        <w:rPr>
          <w:rFonts w:ascii="Arial" w:eastAsia="Arial" w:hAnsi="Arial" w:cs="Arial"/>
          <w:b/>
          <w:color w:val="010000"/>
          <w:sz w:val="20"/>
          <w:szCs w:val="20"/>
        </w:rPr>
      </w:pPr>
      <w:r w:rsidRPr="00075752">
        <w:rPr>
          <w:rFonts w:ascii="Arial" w:hAnsi="Arial" w:cs="Arial"/>
          <w:b/>
          <w:color w:val="010000"/>
          <w:sz w:val="20"/>
          <w:szCs w:val="20"/>
        </w:rPr>
        <w:t>CMT: Annual General Mandate 2024</w:t>
      </w:r>
    </w:p>
    <w:p w14:paraId="1089DFC9" w14:textId="77777777" w:rsidR="00B63AB9" w:rsidRPr="00075752" w:rsidRDefault="00BE41CB" w:rsidP="00075752">
      <w:pPr>
        <w:keepNext/>
        <w:pBdr>
          <w:top w:val="nil"/>
          <w:left w:val="nil"/>
          <w:bottom w:val="nil"/>
          <w:right w:val="nil"/>
          <w:between w:val="nil"/>
        </w:pBdr>
        <w:tabs>
          <w:tab w:val="left" w:pos="360"/>
          <w:tab w:val="left" w:pos="810"/>
          <w:tab w:val="left" w:pos="6514"/>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 xml:space="preserve">On April 24, 2024, Information and Networking Technology Joint Stock Company announced General Mandate No. 2404.1/2024/NQ-CMT-DHDCD as follows: </w:t>
      </w:r>
    </w:p>
    <w:p w14:paraId="145ADE57"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Article 1: Approve the Report on the Activities in 2023 and Operating Orientation in 2024 of the Board of Directors. In details:</w:t>
      </w:r>
    </w:p>
    <w:p w14:paraId="7D106B8B" w14:textId="77777777" w:rsidR="00B63AB9" w:rsidRPr="00075752" w:rsidRDefault="00BE41CB" w:rsidP="00075752">
      <w:pPr>
        <w:numPr>
          <w:ilvl w:val="1"/>
          <w:numId w:val="10"/>
        </w:numPr>
        <w:pBdr>
          <w:top w:val="nil"/>
          <w:left w:val="nil"/>
          <w:bottom w:val="nil"/>
          <w:right w:val="nil"/>
          <w:between w:val="nil"/>
        </w:pBdr>
        <w:tabs>
          <w:tab w:val="left" w:pos="360"/>
          <w:tab w:val="left" w:pos="810"/>
          <w:tab w:val="left" w:pos="2229"/>
        </w:tabs>
        <w:spacing w:after="120" w:line="360" w:lineRule="auto"/>
        <w:jc w:val="both"/>
        <w:rPr>
          <w:rFonts w:ascii="Arial" w:hAnsi="Arial" w:cs="Arial"/>
          <w:color w:val="010000"/>
          <w:sz w:val="20"/>
          <w:szCs w:val="20"/>
        </w:rPr>
      </w:pPr>
      <w:r w:rsidRPr="00075752">
        <w:rPr>
          <w:rFonts w:ascii="Arial" w:hAnsi="Arial" w:cs="Arial"/>
          <w:color w:val="010000"/>
          <w:sz w:val="20"/>
          <w:szCs w:val="20"/>
        </w:rPr>
        <w:t>Business activities in 2023:</w:t>
      </w:r>
    </w:p>
    <w:p w14:paraId="79FABFAF" w14:textId="77777777" w:rsidR="00B63AB9" w:rsidRPr="00075752" w:rsidRDefault="00BE41CB" w:rsidP="00075752">
      <w:pPr>
        <w:numPr>
          <w:ilvl w:val="2"/>
          <w:numId w:val="10"/>
        </w:numPr>
        <w:pBdr>
          <w:top w:val="nil"/>
          <w:left w:val="nil"/>
          <w:bottom w:val="nil"/>
          <w:right w:val="nil"/>
          <w:between w:val="nil"/>
        </w:pBdr>
        <w:tabs>
          <w:tab w:val="left" w:pos="360"/>
          <w:tab w:val="left" w:pos="810"/>
          <w:tab w:val="left" w:pos="2392"/>
        </w:tabs>
        <w:spacing w:after="120" w:line="360" w:lineRule="auto"/>
        <w:jc w:val="both"/>
        <w:rPr>
          <w:rFonts w:ascii="Arial" w:hAnsi="Arial" w:cs="Arial"/>
          <w:color w:val="010000"/>
          <w:sz w:val="20"/>
          <w:szCs w:val="20"/>
        </w:rPr>
      </w:pPr>
      <w:r w:rsidRPr="00075752">
        <w:rPr>
          <w:rFonts w:ascii="Arial" w:hAnsi="Arial" w:cs="Arial"/>
          <w:color w:val="010000"/>
          <w:sz w:val="20"/>
          <w:szCs w:val="20"/>
        </w:rPr>
        <w:t>Report on production and business activities results</w:t>
      </w:r>
    </w:p>
    <w:p w14:paraId="23989716" w14:textId="77777777" w:rsidR="00B63AB9" w:rsidRPr="00075752" w:rsidRDefault="00BE41CB" w:rsidP="00075752">
      <w:pPr>
        <w:numPr>
          <w:ilvl w:val="0"/>
          <w:numId w:val="11"/>
        </w:numPr>
        <w:pBdr>
          <w:top w:val="nil"/>
          <w:left w:val="nil"/>
          <w:bottom w:val="nil"/>
          <w:right w:val="nil"/>
          <w:between w:val="nil"/>
        </w:pBdr>
        <w:tabs>
          <w:tab w:val="left" w:pos="360"/>
          <w:tab w:val="left" w:pos="810"/>
          <w:tab w:val="left" w:pos="2382"/>
          <w:tab w:val="left" w:pos="7084"/>
        </w:tabs>
        <w:spacing w:after="120" w:line="360" w:lineRule="auto"/>
        <w:jc w:val="both"/>
        <w:rPr>
          <w:rFonts w:ascii="Arial" w:hAnsi="Arial" w:cs="Arial"/>
          <w:color w:val="010000"/>
          <w:sz w:val="20"/>
          <w:szCs w:val="20"/>
        </w:rPr>
      </w:pPr>
      <w:r w:rsidRPr="00075752">
        <w:rPr>
          <w:rFonts w:ascii="Arial" w:hAnsi="Arial" w:cs="Arial"/>
          <w:color w:val="010000"/>
          <w:sz w:val="20"/>
          <w:szCs w:val="20"/>
        </w:rPr>
        <w:t>Revenue from goods sales and service provision VND 627,156,341,166.</w:t>
      </w:r>
    </w:p>
    <w:p w14:paraId="2FE8D9DF" w14:textId="77777777" w:rsidR="00B63AB9" w:rsidRPr="00075752" w:rsidRDefault="00BE41CB" w:rsidP="00075752">
      <w:pPr>
        <w:numPr>
          <w:ilvl w:val="0"/>
          <w:numId w:val="11"/>
        </w:numPr>
        <w:pBdr>
          <w:top w:val="nil"/>
          <w:left w:val="nil"/>
          <w:bottom w:val="nil"/>
          <w:right w:val="nil"/>
          <w:between w:val="nil"/>
        </w:pBdr>
        <w:tabs>
          <w:tab w:val="left" w:pos="360"/>
          <w:tab w:val="left" w:pos="810"/>
          <w:tab w:val="left" w:pos="2382"/>
          <w:tab w:val="left" w:pos="7084"/>
        </w:tabs>
        <w:spacing w:after="120" w:line="360" w:lineRule="auto"/>
        <w:jc w:val="both"/>
        <w:rPr>
          <w:rFonts w:ascii="Arial" w:hAnsi="Arial" w:cs="Arial"/>
          <w:color w:val="010000"/>
          <w:sz w:val="20"/>
          <w:szCs w:val="20"/>
        </w:rPr>
      </w:pPr>
      <w:r w:rsidRPr="00075752">
        <w:rPr>
          <w:rFonts w:ascii="Arial" w:hAnsi="Arial" w:cs="Arial"/>
          <w:color w:val="010000"/>
          <w:sz w:val="20"/>
          <w:szCs w:val="20"/>
        </w:rPr>
        <w:t>Profit after tax: VND 14,238,906,251.</w:t>
      </w:r>
    </w:p>
    <w:p w14:paraId="12FB004E" w14:textId="77777777" w:rsidR="00B63AB9" w:rsidRPr="00075752" w:rsidRDefault="00BE41CB" w:rsidP="00075752">
      <w:pPr>
        <w:numPr>
          <w:ilvl w:val="2"/>
          <w:numId w:val="10"/>
        </w:numPr>
        <w:pBdr>
          <w:top w:val="nil"/>
          <w:left w:val="nil"/>
          <w:bottom w:val="nil"/>
          <w:right w:val="nil"/>
          <w:between w:val="nil"/>
        </w:pBdr>
        <w:tabs>
          <w:tab w:val="left" w:pos="360"/>
          <w:tab w:val="left" w:pos="810"/>
          <w:tab w:val="left" w:pos="2392"/>
        </w:tabs>
        <w:spacing w:after="120" w:line="360" w:lineRule="auto"/>
        <w:jc w:val="both"/>
        <w:rPr>
          <w:rFonts w:ascii="Arial" w:hAnsi="Arial" w:cs="Arial"/>
          <w:color w:val="010000"/>
          <w:sz w:val="20"/>
          <w:szCs w:val="20"/>
        </w:rPr>
      </w:pPr>
      <w:r w:rsidRPr="00075752">
        <w:rPr>
          <w:rFonts w:ascii="Arial" w:hAnsi="Arial" w:cs="Arial"/>
          <w:color w:val="010000"/>
          <w:sz w:val="20"/>
          <w:szCs w:val="20"/>
        </w:rPr>
        <w:t>Evaluation of the business results</w:t>
      </w:r>
    </w:p>
    <w:p w14:paraId="42475DF8" w14:textId="77777777" w:rsidR="00B63AB9" w:rsidRPr="00075752" w:rsidRDefault="00BE41CB" w:rsidP="00075752">
      <w:pPr>
        <w:numPr>
          <w:ilvl w:val="1"/>
          <w:numId w:val="12"/>
        </w:numPr>
        <w:pBdr>
          <w:top w:val="nil"/>
          <w:left w:val="nil"/>
          <w:bottom w:val="nil"/>
          <w:right w:val="nil"/>
          <w:between w:val="nil"/>
        </w:pBdr>
        <w:tabs>
          <w:tab w:val="left" w:pos="360"/>
          <w:tab w:val="left" w:pos="810"/>
          <w:tab w:val="left" w:pos="2244"/>
        </w:tabs>
        <w:spacing w:after="120" w:line="360" w:lineRule="auto"/>
        <w:jc w:val="both"/>
        <w:rPr>
          <w:rFonts w:ascii="Arial" w:hAnsi="Arial" w:cs="Arial"/>
          <w:color w:val="010000"/>
          <w:sz w:val="20"/>
          <w:szCs w:val="20"/>
        </w:rPr>
      </w:pPr>
      <w:r w:rsidRPr="00075752">
        <w:rPr>
          <w:rFonts w:ascii="Arial" w:hAnsi="Arial" w:cs="Arial"/>
          <w:color w:val="010000"/>
          <w:sz w:val="20"/>
          <w:szCs w:val="20"/>
        </w:rPr>
        <w:t>Operating Orientation in 2024.</w:t>
      </w:r>
    </w:p>
    <w:p w14:paraId="46ECBE52" w14:textId="77777777" w:rsidR="00B63AB9" w:rsidRPr="00075752" w:rsidRDefault="00BE41CB" w:rsidP="00075752">
      <w:pPr>
        <w:numPr>
          <w:ilvl w:val="2"/>
          <w:numId w:val="12"/>
        </w:numPr>
        <w:pBdr>
          <w:top w:val="nil"/>
          <w:left w:val="nil"/>
          <w:bottom w:val="nil"/>
          <w:right w:val="nil"/>
          <w:between w:val="nil"/>
        </w:pBdr>
        <w:tabs>
          <w:tab w:val="left" w:pos="360"/>
          <w:tab w:val="left" w:pos="810"/>
          <w:tab w:val="left" w:pos="2406"/>
        </w:tabs>
        <w:spacing w:after="120" w:line="360" w:lineRule="auto"/>
        <w:jc w:val="both"/>
        <w:rPr>
          <w:rFonts w:ascii="Arial" w:hAnsi="Arial" w:cs="Arial"/>
          <w:color w:val="010000"/>
          <w:sz w:val="20"/>
          <w:szCs w:val="20"/>
        </w:rPr>
      </w:pPr>
      <w:r w:rsidRPr="00075752">
        <w:rPr>
          <w:rFonts w:ascii="Arial" w:hAnsi="Arial" w:cs="Arial"/>
          <w:color w:val="010000"/>
          <w:sz w:val="20"/>
          <w:szCs w:val="20"/>
        </w:rPr>
        <w:t>Governance activities:</w:t>
      </w:r>
    </w:p>
    <w:p w14:paraId="034E37B8" w14:textId="77777777" w:rsidR="00B63AB9" w:rsidRPr="00075752" w:rsidRDefault="00BE41CB" w:rsidP="00075752">
      <w:pPr>
        <w:numPr>
          <w:ilvl w:val="0"/>
          <w:numId w:val="8"/>
        </w:numPr>
        <w:pBdr>
          <w:top w:val="nil"/>
          <w:left w:val="nil"/>
          <w:bottom w:val="nil"/>
          <w:right w:val="nil"/>
          <w:between w:val="nil"/>
        </w:pBdr>
        <w:tabs>
          <w:tab w:val="left" w:pos="360"/>
          <w:tab w:val="left" w:pos="810"/>
        </w:tabs>
        <w:spacing w:after="120" w:line="360" w:lineRule="auto"/>
        <w:ind w:left="0" w:firstLine="0"/>
        <w:jc w:val="both"/>
        <w:rPr>
          <w:rFonts w:ascii="Arial" w:hAnsi="Arial" w:cs="Arial"/>
          <w:color w:val="010000"/>
          <w:sz w:val="20"/>
          <w:szCs w:val="20"/>
        </w:rPr>
      </w:pPr>
      <w:r w:rsidRPr="00075752">
        <w:rPr>
          <w:rFonts w:ascii="Arial" w:hAnsi="Arial" w:cs="Arial"/>
          <w:color w:val="010000"/>
          <w:sz w:val="20"/>
          <w:szCs w:val="20"/>
        </w:rPr>
        <w:t>Supervisory activities of the Board of Directors for the General Manager: The Board of Directors meets monthly with the company's Executive Board to hear reports on the business situation and other aspects of the company's activities. At the same time, together with the Executive Board, resolve the company's affairs and set out operating orientation for the following months.</w:t>
      </w:r>
    </w:p>
    <w:p w14:paraId="6ABC3ED8" w14:textId="77777777" w:rsidR="00B63AB9" w:rsidRPr="00075752" w:rsidRDefault="00BE41CB" w:rsidP="00075752">
      <w:pPr>
        <w:keepNext/>
        <w:numPr>
          <w:ilvl w:val="2"/>
          <w:numId w:val="12"/>
        </w:numPr>
        <w:pBdr>
          <w:top w:val="nil"/>
          <w:left w:val="nil"/>
          <w:bottom w:val="nil"/>
          <w:right w:val="nil"/>
          <w:between w:val="nil"/>
        </w:pBdr>
        <w:tabs>
          <w:tab w:val="left" w:pos="360"/>
          <w:tab w:val="left" w:pos="810"/>
          <w:tab w:val="left" w:pos="2410"/>
        </w:tabs>
        <w:spacing w:after="120" w:line="360" w:lineRule="auto"/>
        <w:jc w:val="both"/>
        <w:rPr>
          <w:rFonts w:ascii="Arial" w:hAnsi="Arial" w:cs="Arial"/>
          <w:color w:val="010000"/>
          <w:sz w:val="20"/>
          <w:szCs w:val="20"/>
        </w:rPr>
      </w:pPr>
      <w:r w:rsidRPr="00075752">
        <w:rPr>
          <w:rFonts w:ascii="Arial" w:hAnsi="Arial" w:cs="Arial"/>
          <w:color w:val="010000"/>
          <w:sz w:val="20"/>
          <w:szCs w:val="20"/>
        </w:rPr>
        <w:t>Operating Orientation in 2024.</w:t>
      </w:r>
    </w:p>
    <w:p w14:paraId="52C3DCBB" w14:textId="77777777" w:rsidR="00B63AB9" w:rsidRPr="00075752" w:rsidRDefault="00BE41CB" w:rsidP="00075752">
      <w:pPr>
        <w:keepNext/>
        <w:numPr>
          <w:ilvl w:val="0"/>
          <w:numId w:val="1"/>
        </w:numPr>
        <w:pBdr>
          <w:top w:val="nil"/>
          <w:left w:val="nil"/>
          <w:bottom w:val="nil"/>
          <w:right w:val="nil"/>
          <w:between w:val="nil"/>
        </w:pBdr>
        <w:tabs>
          <w:tab w:val="left" w:pos="360"/>
          <w:tab w:val="left" w:pos="810"/>
          <w:tab w:val="left" w:pos="2265"/>
        </w:tabs>
        <w:spacing w:after="120" w:line="360" w:lineRule="auto"/>
        <w:jc w:val="both"/>
        <w:rPr>
          <w:rFonts w:ascii="Arial" w:hAnsi="Arial" w:cs="Arial"/>
          <w:color w:val="010000"/>
          <w:sz w:val="20"/>
          <w:szCs w:val="20"/>
        </w:rPr>
      </w:pPr>
      <w:r w:rsidRPr="00075752">
        <w:rPr>
          <w:rFonts w:ascii="Arial" w:hAnsi="Arial" w:cs="Arial"/>
          <w:color w:val="010000"/>
          <w:sz w:val="20"/>
          <w:szCs w:val="20"/>
        </w:rPr>
        <w:t>Operating Orientation:</w:t>
      </w:r>
    </w:p>
    <w:p w14:paraId="3EF7D0DE" w14:textId="71FC2123" w:rsidR="00B63AB9" w:rsidRPr="00075752" w:rsidRDefault="00BE41CB" w:rsidP="00075752">
      <w:pPr>
        <w:numPr>
          <w:ilvl w:val="0"/>
          <w:numId w:val="9"/>
        </w:numPr>
        <w:pBdr>
          <w:top w:val="nil"/>
          <w:left w:val="nil"/>
          <w:bottom w:val="nil"/>
          <w:right w:val="nil"/>
          <w:between w:val="nil"/>
        </w:pBdr>
        <w:tabs>
          <w:tab w:val="left" w:pos="360"/>
          <w:tab w:val="left" w:pos="810"/>
        </w:tabs>
        <w:spacing w:after="120" w:line="360" w:lineRule="auto"/>
        <w:ind w:left="0" w:firstLine="0"/>
        <w:jc w:val="both"/>
        <w:rPr>
          <w:rFonts w:ascii="Arial" w:hAnsi="Arial" w:cs="Arial"/>
          <w:color w:val="010000"/>
          <w:sz w:val="20"/>
          <w:szCs w:val="20"/>
        </w:rPr>
      </w:pPr>
      <w:r w:rsidRPr="00075752">
        <w:rPr>
          <w:rFonts w:ascii="Arial" w:hAnsi="Arial" w:cs="Arial"/>
          <w:color w:val="010000"/>
          <w:sz w:val="20"/>
          <w:szCs w:val="20"/>
        </w:rPr>
        <w:t xml:space="preserve">Search for new potential markets to expand and diversify business markets. At the same time, </w:t>
      </w:r>
      <w:r w:rsidR="00075752">
        <w:rPr>
          <w:rFonts w:ascii="Arial" w:hAnsi="Arial" w:cs="Arial"/>
          <w:color w:val="010000"/>
          <w:sz w:val="20"/>
          <w:szCs w:val="20"/>
        </w:rPr>
        <w:t>promotes</w:t>
      </w:r>
      <w:r w:rsidRPr="00075752">
        <w:rPr>
          <w:rFonts w:ascii="Arial" w:hAnsi="Arial" w:cs="Arial"/>
          <w:color w:val="010000"/>
          <w:sz w:val="20"/>
          <w:szCs w:val="20"/>
        </w:rPr>
        <w:t xml:space="preserve"> business development in markets with great potential, bringing high business efficiency.</w:t>
      </w:r>
    </w:p>
    <w:p w14:paraId="4414B3CF" w14:textId="77777777" w:rsidR="00B63AB9" w:rsidRPr="00075752" w:rsidRDefault="00BE41CB" w:rsidP="00075752">
      <w:pPr>
        <w:numPr>
          <w:ilvl w:val="0"/>
          <w:numId w:val="9"/>
        </w:numPr>
        <w:pBdr>
          <w:top w:val="nil"/>
          <w:left w:val="nil"/>
          <w:bottom w:val="nil"/>
          <w:right w:val="nil"/>
          <w:between w:val="nil"/>
        </w:pBdr>
        <w:tabs>
          <w:tab w:val="left" w:pos="360"/>
          <w:tab w:val="left" w:pos="810"/>
        </w:tabs>
        <w:spacing w:after="120" w:line="360" w:lineRule="auto"/>
        <w:ind w:left="0" w:firstLine="0"/>
        <w:jc w:val="both"/>
        <w:rPr>
          <w:rFonts w:ascii="Arial" w:hAnsi="Arial" w:cs="Arial"/>
          <w:color w:val="010000"/>
          <w:sz w:val="20"/>
          <w:szCs w:val="20"/>
        </w:rPr>
      </w:pPr>
      <w:r w:rsidRPr="00075752">
        <w:rPr>
          <w:rFonts w:ascii="Arial" w:hAnsi="Arial" w:cs="Arial"/>
          <w:color w:val="010000"/>
          <w:sz w:val="20"/>
          <w:szCs w:val="20"/>
        </w:rPr>
        <w:t>Develop technical and business capabilities in solution areas that require high technology, enhance the company's competitiveness in the market, and increase sales and profits.</w:t>
      </w:r>
    </w:p>
    <w:p w14:paraId="6942D9E6" w14:textId="6751E3CF" w:rsidR="00B63AB9" w:rsidRPr="00075752" w:rsidRDefault="00BE41CB" w:rsidP="00075752">
      <w:pPr>
        <w:numPr>
          <w:ilvl w:val="0"/>
          <w:numId w:val="9"/>
        </w:numPr>
        <w:pBdr>
          <w:top w:val="nil"/>
          <w:left w:val="nil"/>
          <w:bottom w:val="nil"/>
          <w:right w:val="nil"/>
          <w:between w:val="nil"/>
        </w:pBdr>
        <w:tabs>
          <w:tab w:val="left" w:pos="360"/>
          <w:tab w:val="left" w:pos="810"/>
        </w:tabs>
        <w:spacing w:after="120" w:line="360" w:lineRule="auto"/>
        <w:ind w:left="0" w:firstLine="0"/>
        <w:jc w:val="both"/>
        <w:rPr>
          <w:rFonts w:ascii="Arial" w:hAnsi="Arial" w:cs="Arial"/>
          <w:color w:val="010000"/>
          <w:sz w:val="20"/>
          <w:szCs w:val="20"/>
        </w:rPr>
      </w:pPr>
      <w:r w:rsidRPr="00075752">
        <w:rPr>
          <w:rFonts w:ascii="Arial" w:hAnsi="Arial" w:cs="Arial"/>
          <w:color w:val="010000"/>
          <w:sz w:val="20"/>
          <w:szCs w:val="20"/>
        </w:rPr>
        <w:t xml:space="preserve">Develop partnerships, companies </w:t>
      </w:r>
      <w:r w:rsidR="00075752">
        <w:rPr>
          <w:rFonts w:ascii="Arial" w:hAnsi="Arial" w:cs="Arial"/>
          <w:color w:val="010000"/>
          <w:sz w:val="20"/>
          <w:szCs w:val="20"/>
        </w:rPr>
        <w:t>provide</w:t>
      </w:r>
      <w:r w:rsidRPr="00075752">
        <w:rPr>
          <w:rFonts w:ascii="Arial" w:hAnsi="Arial" w:cs="Arial"/>
          <w:color w:val="010000"/>
          <w:sz w:val="20"/>
          <w:szCs w:val="20"/>
        </w:rPr>
        <w:t xml:space="preserve"> new equipment and solutions suitable for business goals in many different markets, optimize cost prices, and increase competitiveness.</w:t>
      </w:r>
    </w:p>
    <w:p w14:paraId="44AE3441" w14:textId="4B9D7369" w:rsidR="00B63AB9" w:rsidRPr="00075752" w:rsidRDefault="00BE41CB" w:rsidP="00075752">
      <w:pPr>
        <w:numPr>
          <w:ilvl w:val="0"/>
          <w:numId w:val="9"/>
        </w:numPr>
        <w:pBdr>
          <w:top w:val="nil"/>
          <w:left w:val="nil"/>
          <w:bottom w:val="nil"/>
          <w:right w:val="nil"/>
          <w:between w:val="nil"/>
        </w:pBdr>
        <w:tabs>
          <w:tab w:val="left" w:pos="360"/>
          <w:tab w:val="left" w:pos="810"/>
        </w:tabs>
        <w:spacing w:after="120" w:line="360" w:lineRule="auto"/>
        <w:ind w:left="0" w:firstLine="0"/>
        <w:jc w:val="both"/>
        <w:rPr>
          <w:rFonts w:ascii="Arial" w:hAnsi="Arial" w:cs="Arial"/>
          <w:color w:val="010000"/>
          <w:sz w:val="20"/>
          <w:szCs w:val="20"/>
        </w:rPr>
      </w:pPr>
      <w:r w:rsidRPr="00075752">
        <w:rPr>
          <w:rFonts w:ascii="Arial" w:hAnsi="Arial" w:cs="Arial"/>
          <w:color w:val="010000"/>
          <w:sz w:val="20"/>
          <w:szCs w:val="20"/>
        </w:rPr>
        <w:t xml:space="preserve">Improve management capacity, optimize human resource organization and operations to improve business efficiency, </w:t>
      </w:r>
      <w:r w:rsidR="00075752">
        <w:rPr>
          <w:rFonts w:ascii="Arial" w:hAnsi="Arial" w:cs="Arial"/>
          <w:color w:val="010000"/>
          <w:sz w:val="20"/>
          <w:szCs w:val="20"/>
        </w:rPr>
        <w:t xml:space="preserve">and </w:t>
      </w:r>
      <w:r w:rsidRPr="00075752">
        <w:rPr>
          <w:rFonts w:ascii="Arial" w:hAnsi="Arial" w:cs="Arial"/>
          <w:color w:val="010000"/>
          <w:sz w:val="20"/>
          <w:szCs w:val="20"/>
        </w:rPr>
        <w:t>optimize costs to increase profits.</w:t>
      </w:r>
    </w:p>
    <w:p w14:paraId="6A178A70" w14:textId="77777777" w:rsidR="00B63AB9" w:rsidRPr="00075752" w:rsidRDefault="00BE41CB" w:rsidP="00075752">
      <w:pPr>
        <w:numPr>
          <w:ilvl w:val="0"/>
          <w:numId w:val="9"/>
        </w:numPr>
        <w:pBdr>
          <w:top w:val="nil"/>
          <w:left w:val="nil"/>
          <w:bottom w:val="nil"/>
          <w:right w:val="nil"/>
          <w:between w:val="nil"/>
        </w:pBdr>
        <w:tabs>
          <w:tab w:val="left" w:pos="360"/>
          <w:tab w:val="left" w:pos="810"/>
        </w:tabs>
        <w:spacing w:after="120" w:line="360" w:lineRule="auto"/>
        <w:ind w:left="0" w:firstLine="0"/>
        <w:jc w:val="both"/>
        <w:rPr>
          <w:rFonts w:ascii="Arial" w:hAnsi="Arial" w:cs="Arial"/>
          <w:color w:val="010000"/>
          <w:sz w:val="20"/>
          <w:szCs w:val="20"/>
        </w:rPr>
      </w:pPr>
      <w:r w:rsidRPr="00075752">
        <w:rPr>
          <w:rFonts w:ascii="Arial" w:hAnsi="Arial" w:cs="Arial"/>
          <w:color w:val="010000"/>
          <w:sz w:val="20"/>
          <w:szCs w:val="20"/>
        </w:rPr>
        <w:t>Closely monitor the implementation of the business plan, ensuring timely handling of problems.</w:t>
      </w:r>
    </w:p>
    <w:p w14:paraId="2426C8F3" w14:textId="77777777" w:rsidR="00B63AB9" w:rsidRPr="00075752" w:rsidRDefault="00BE41CB" w:rsidP="00075752">
      <w:pPr>
        <w:keepNext/>
        <w:numPr>
          <w:ilvl w:val="0"/>
          <w:numId w:val="1"/>
        </w:numPr>
        <w:pBdr>
          <w:top w:val="nil"/>
          <w:left w:val="nil"/>
          <w:bottom w:val="nil"/>
          <w:right w:val="nil"/>
          <w:between w:val="nil"/>
        </w:pBdr>
        <w:tabs>
          <w:tab w:val="left" w:pos="360"/>
          <w:tab w:val="left" w:pos="810"/>
          <w:tab w:val="left" w:pos="1965"/>
        </w:tabs>
        <w:spacing w:after="120" w:line="360" w:lineRule="auto"/>
        <w:jc w:val="both"/>
        <w:rPr>
          <w:rFonts w:ascii="Arial" w:hAnsi="Arial" w:cs="Arial"/>
          <w:color w:val="010000"/>
          <w:sz w:val="20"/>
          <w:szCs w:val="20"/>
        </w:rPr>
      </w:pPr>
      <w:r w:rsidRPr="00075752">
        <w:rPr>
          <w:rFonts w:ascii="Arial" w:hAnsi="Arial" w:cs="Arial"/>
          <w:color w:val="010000"/>
          <w:sz w:val="20"/>
          <w:szCs w:val="20"/>
        </w:rPr>
        <w:t>Business plan.</w:t>
      </w:r>
    </w:p>
    <w:p w14:paraId="7EF7D915" w14:textId="77777777" w:rsidR="00B63AB9" w:rsidRPr="00075752" w:rsidRDefault="00BE41CB" w:rsidP="00075752">
      <w:pPr>
        <w:numPr>
          <w:ilvl w:val="0"/>
          <w:numId w:val="9"/>
        </w:numPr>
        <w:pBdr>
          <w:top w:val="nil"/>
          <w:left w:val="nil"/>
          <w:bottom w:val="nil"/>
          <w:right w:val="nil"/>
          <w:between w:val="nil"/>
        </w:pBdr>
        <w:tabs>
          <w:tab w:val="left" w:pos="360"/>
          <w:tab w:val="left" w:pos="810"/>
          <w:tab w:val="left" w:pos="7021"/>
        </w:tabs>
        <w:spacing w:after="120" w:line="360" w:lineRule="auto"/>
        <w:ind w:left="0" w:firstLine="0"/>
        <w:jc w:val="both"/>
        <w:rPr>
          <w:rFonts w:ascii="Arial" w:hAnsi="Arial" w:cs="Arial"/>
          <w:color w:val="010000"/>
          <w:sz w:val="20"/>
          <w:szCs w:val="20"/>
        </w:rPr>
      </w:pPr>
      <w:r w:rsidRPr="00075752">
        <w:rPr>
          <w:rFonts w:ascii="Arial" w:hAnsi="Arial" w:cs="Arial"/>
          <w:color w:val="010000"/>
          <w:sz w:val="20"/>
          <w:szCs w:val="20"/>
        </w:rPr>
        <w:t>Revenue from goods sales and service provision VND 800,000,000,000.</w:t>
      </w:r>
    </w:p>
    <w:p w14:paraId="054FED6C" w14:textId="77777777" w:rsidR="00B63AB9" w:rsidRPr="00075752" w:rsidRDefault="00BE41CB" w:rsidP="00075752">
      <w:pPr>
        <w:numPr>
          <w:ilvl w:val="0"/>
          <w:numId w:val="9"/>
        </w:numPr>
        <w:pBdr>
          <w:top w:val="nil"/>
          <w:left w:val="nil"/>
          <w:bottom w:val="nil"/>
          <w:right w:val="nil"/>
          <w:between w:val="nil"/>
        </w:pBdr>
        <w:tabs>
          <w:tab w:val="left" w:pos="360"/>
          <w:tab w:val="left" w:pos="810"/>
          <w:tab w:val="left" w:pos="4131"/>
          <w:tab w:val="left" w:pos="7021"/>
        </w:tabs>
        <w:spacing w:after="120" w:line="360" w:lineRule="auto"/>
        <w:ind w:left="0" w:firstLine="0"/>
        <w:jc w:val="both"/>
        <w:rPr>
          <w:rFonts w:ascii="Arial" w:hAnsi="Arial" w:cs="Arial"/>
          <w:color w:val="010000"/>
          <w:sz w:val="20"/>
          <w:szCs w:val="20"/>
        </w:rPr>
      </w:pPr>
      <w:r w:rsidRPr="00075752">
        <w:rPr>
          <w:rFonts w:ascii="Arial" w:hAnsi="Arial" w:cs="Arial"/>
          <w:color w:val="010000"/>
          <w:sz w:val="20"/>
          <w:szCs w:val="20"/>
        </w:rPr>
        <w:t>Profit after tax: VND 25,000,000,000.</w:t>
      </w:r>
    </w:p>
    <w:p w14:paraId="66540633" w14:textId="77777777" w:rsidR="00B63AB9" w:rsidRPr="00075752" w:rsidRDefault="00BE41CB" w:rsidP="00075752">
      <w:pPr>
        <w:pBdr>
          <w:top w:val="nil"/>
          <w:left w:val="nil"/>
          <w:bottom w:val="nil"/>
          <w:right w:val="nil"/>
          <w:between w:val="nil"/>
        </w:pBdr>
        <w:tabs>
          <w:tab w:val="left" w:pos="360"/>
          <w:tab w:val="left" w:pos="810"/>
          <w:tab w:val="left" w:pos="4107"/>
          <w:tab w:val="left" w:pos="6335"/>
          <w:tab w:val="center" w:pos="6790"/>
          <w:tab w:val="left" w:pos="7156"/>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Article 2: Approve the Report on Supervisory Activities of the Supervisory Board in 2023;</w:t>
      </w:r>
    </w:p>
    <w:p w14:paraId="407EB4AF" w14:textId="77777777" w:rsidR="00B63AB9" w:rsidRPr="00075752" w:rsidRDefault="00BE41CB" w:rsidP="00075752">
      <w:pPr>
        <w:pBdr>
          <w:top w:val="nil"/>
          <w:left w:val="nil"/>
          <w:bottom w:val="nil"/>
          <w:right w:val="nil"/>
          <w:between w:val="nil"/>
        </w:pBdr>
        <w:tabs>
          <w:tab w:val="left" w:pos="360"/>
          <w:tab w:val="left" w:pos="810"/>
          <w:tab w:val="left" w:pos="4110"/>
          <w:tab w:val="left" w:pos="6339"/>
          <w:tab w:val="left" w:pos="716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Article 3: Approve the Audited Financial Statements 2023. In details:</w:t>
      </w:r>
    </w:p>
    <w:p w14:paraId="57E67577" w14:textId="77777777" w:rsidR="00B63AB9" w:rsidRPr="00075752" w:rsidRDefault="00BE41CB" w:rsidP="00075752">
      <w:pPr>
        <w:numPr>
          <w:ilvl w:val="0"/>
          <w:numId w:val="2"/>
        </w:numPr>
        <w:pBdr>
          <w:top w:val="nil"/>
          <w:left w:val="nil"/>
          <w:bottom w:val="nil"/>
          <w:right w:val="nil"/>
          <w:between w:val="nil"/>
        </w:pBdr>
        <w:tabs>
          <w:tab w:val="left" w:pos="360"/>
          <w:tab w:val="left" w:pos="810"/>
        </w:tabs>
        <w:spacing w:after="120" w:line="360" w:lineRule="auto"/>
        <w:ind w:left="0" w:firstLine="0"/>
        <w:jc w:val="both"/>
        <w:rPr>
          <w:rFonts w:ascii="Arial" w:hAnsi="Arial" w:cs="Arial"/>
          <w:color w:val="010000"/>
          <w:sz w:val="20"/>
          <w:szCs w:val="20"/>
        </w:rPr>
      </w:pPr>
      <w:r w:rsidRPr="00075752">
        <w:rPr>
          <w:rFonts w:ascii="Arial" w:hAnsi="Arial" w:cs="Arial"/>
          <w:color w:val="010000"/>
          <w:sz w:val="20"/>
          <w:szCs w:val="20"/>
        </w:rPr>
        <w:lastRenderedPageBreak/>
        <w:t>Some basic targets in the Audited Consolidated Financial Statements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5235"/>
        <w:gridCol w:w="3086"/>
      </w:tblGrid>
      <w:tr w:rsidR="00B63AB9" w:rsidRPr="00075752" w14:paraId="037192CC" w14:textId="77777777">
        <w:tc>
          <w:tcPr>
            <w:tcW w:w="696" w:type="dxa"/>
            <w:shd w:val="clear" w:color="auto" w:fill="auto"/>
            <w:tcMar>
              <w:top w:w="0" w:type="dxa"/>
              <w:bottom w:w="0" w:type="dxa"/>
            </w:tcMar>
            <w:vAlign w:val="center"/>
          </w:tcPr>
          <w:p w14:paraId="3F35328B"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No.</w:t>
            </w:r>
          </w:p>
        </w:tc>
        <w:tc>
          <w:tcPr>
            <w:tcW w:w="5235" w:type="dxa"/>
            <w:shd w:val="clear" w:color="auto" w:fill="auto"/>
            <w:tcMar>
              <w:top w:w="0" w:type="dxa"/>
              <w:bottom w:w="0" w:type="dxa"/>
            </w:tcMar>
            <w:vAlign w:val="center"/>
          </w:tcPr>
          <w:p w14:paraId="76E0CFF1"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Target</w:t>
            </w:r>
          </w:p>
        </w:tc>
        <w:tc>
          <w:tcPr>
            <w:tcW w:w="3086" w:type="dxa"/>
            <w:shd w:val="clear" w:color="auto" w:fill="auto"/>
            <w:tcMar>
              <w:top w:w="0" w:type="dxa"/>
              <w:bottom w:w="0" w:type="dxa"/>
            </w:tcMar>
            <w:vAlign w:val="center"/>
          </w:tcPr>
          <w:p w14:paraId="29963B66"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Amount</w:t>
            </w:r>
          </w:p>
        </w:tc>
      </w:tr>
      <w:tr w:rsidR="00B63AB9" w:rsidRPr="00075752" w14:paraId="1869A616" w14:textId="77777777">
        <w:tc>
          <w:tcPr>
            <w:tcW w:w="696" w:type="dxa"/>
            <w:shd w:val="clear" w:color="auto" w:fill="auto"/>
            <w:tcMar>
              <w:top w:w="0" w:type="dxa"/>
              <w:bottom w:w="0" w:type="dxa"/>
            </w:tcMar>
            <w:vAlign w:val="center"/>
          </w:tcPr>
          <w:p w14:paraId="37194E50"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1</w:t>
            </w:r>
          </w:p>
        </w:tc>
        <w:tc>
          <w:tcPr>
            <w:tcW w:w="5235" w:type="dxa"/>
            <w:shd w:val="clear" w:color="auto" w:fill="auto"/>
            <w:tcMar>
              <w:top w:w="0" w:type="dxa"/>
              <w:bottom w:w="0" w:type="dxa"/>
            </w:tcMar>
            <w:vAlign w:val="center"/>
          </w:tcPr>
          <w:p w14:paraId="60DE215C"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Total assets</w:t>
            </w:r>
          </w:p>
        </w:tc>
        <w:tc>
          <w:tcPr>
            <w:tcW w:w="3086" w:type="dxa"/>
            <w:shd w:val="clear" w:color="auto" w:fill="auto"/>
            <w:tcMar>
              <w:top w:w="0" w:type="dxa"/>
              <w:bottom w:w="0" w:type="dxa"/>
            </w:tcMar>
            <w:vAlign w:val="center"/>
          </w:tcPr>
          <w:p w14:paraId="44B2BF82"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477,873,449,332</w:t>
            </w:r>
          </w:p>
        </w:tc>
      </w:tr>
      <w:tr w:rsidR="00B63AB9" w:rsidRPr="00075752" w14:paraId="03888306" w14:textId="77777777">
        <w:tc>
          <w:tcPr>
            <w:tcW w:w="696" w:type="dxa"/>
            <w:shd w:val="clear" w:color="auto" w:fill="auto"/>
            <w:tcMar>
              <w:top w:w="0" w:type="dxa"/>
              <w:bottom w:w="0" w:type="dxa"/>
            </w:tcMar>
            <w:vAlign w:val="center"/>
          </w:tcPr>
          <w:p w14:paraId="281554E3" w14:textId="77777777" w:rsidR="00B63AB9" w:rsidRPr="00075752" w:rsidRDefault="00B63AB9" w:rsidP="00075752">
            <w:pPr>
              <w:tabs>
                <w:tab w:val="left" w:pos="360"/>
                <w:tab w:val="left" w:pos="810"/>
              </w:tabs>
              <w:spacing w:after="120" w:line="360" w:lineRule="auto"/>
              <w:jc w:val="center"/>
              <w:rPr>
                <w:rFonts w:ascii="Arial" w:eastAsia="Arial" w:hAnsi="Arial" w:cs="Arial"/>
                <w:color w:val="010000"/>
                <w:sz w:val="20"/>
                <w:szCs w:val="20"/>
              </w:rPr>
            </w:pPr>
          </w:p>
        </w:tc>
        <w:tc>
          <w:tcPr>
            <w:tcW w:w="5235" w:type="dxa"/>
            <w:shd w:val="clear" w:color="auto" w:fill="auto"/>
            <w:tcMar>
              <w:top w:w="0" w:type="dxa"/>
              <w:bottom w:w="0" w:type="dxa"/>
            </w:tcMar>
            <w:vAlign w:val="center"/>
          </w:tcPr>
          <w:p w14:paraId="55665976"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Short-term assets:</w:t>
            </w:r>
          </w:p>
        </w:tc>
        <w:tc>
          <w:tcPr>
            <w:tcW w:w="3086" w:type="dxa"/>
            <w:shd w:val="clear" w:color="auto" w:fill="auto"/>
            <w:tcMar>
              <w:top w:w="0" w:type="dxa"/>
              <w:bottom w:w="0" w:type="dxa"/>
            </w:tcMar>
            <w:vAlign w:val="center"/>
          </w:tcPr>
          <w:p w14:paraId="5282EB44"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433,103,435,960</w:t>
            </w:r>
          </w:p>
        </w:tc>
      </w:tr>
      <w:tr w:rsidR="00B63AB9" w:rsidRPr="00075752" w14:paraId="31A76FA3" w14:textId="77777777">
        <w:tc>
          <w:tcPr>
            <w:tcW w:w="696" w:type="dxa"/>
            <w:shd w:val="clear" w:color="auto" w:fill="auto"/>
            <w:tcMar>
              <w:top w:w="0" w:type="dxa"/>
              <w:bottom w:w="0" w:type="dxa"/>
            </w:tcMar>
            <w:vAlign w:val="center"/>
          </w:tcPr>
          <w:p w14:paraId="27171F33" w14:textId="77777777" w:rsidR="00B63AB9" w:rsidRPr="00075752" w:rsidRDefault="00B63AB9" w:rsidP="00075752">
            <w:pPr>
              <w:tabs>
                <w:tab w:val="left" w:pos="360"/>
                <w:tab w:val="left" w:pos="810"/>
              </w:tabs>
              <w:spacing w:after="120" w:line="360" w:lineRule="auto"/>
              <w:jc w:val="center"/>
              <w:rPr>
                <w:rFonts w:ascii="Arial" w:eastAsia="Arial" w:hAnsi="Arial" w:cs="Arial"/>
                <w:color w:val="010000"/>
                <w:sz w:val="20"/>
                <w:szCs w:val="20"/>
              </w:rPr>
            </w:pPr>
          </w:p>
        </w:tc>
        <w:tc>
          <w:tcPr>
            <w:tcW w:w="5235" w:type="dxa"/>
            <w:shd w:val="clear" w:color="auto" w:fill="auto"/>
            <w:tcMar>
              <w:top w:w="0" w:type="dxa"/>
              <w:bottom w:w="0" w:type="dxa"/>
            </w:tcMar>
            <w:vAlign w:val="center"/>
          </w:tcPr>
          <w:p w14:paraId="3D14ACD6"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Long-term assets:</w:t>
            </w:r>
          </w:p>
        </w:tc>
        <w:tc>
          <w:tcPr>
            <w:tcW w:w="3086" w:type="dxa"/>
            <w:shd w:val="clear" w:color="auto" w:fill="auto"/>
            <w:tcMar>
              <w:top w:w="0" w:type="dxa"/>
              <w:bottom w:w="0" w:type="dxa"/>
            </w:tcMar>
            <w:vAlign w:val="center"/>
          </w:tcPr>
          <w:p w14:paraId="5D376841"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44,770,013,372</w:t>
            </w:r>
          </w:p>
        </w:tc>
      </w:tr>
      <w:tr w:rsidR="00B63AB9" w:rsidRPr="00075752" w14:paraId="21997FFA" w14:textId="77777777">
        <w:tc>
          <w:tcPr>
            <w:tcW w:w="696" w:type="dxa"/>
            <w:shd w:val="clear" w:color="auto" w:fill="auto"/>
            <w:tcMar>
              <w:top w:w="0" w:type="dxa"/>
              <w:bottom w:w="0" w:type="dxa"/>
            </w:tcMar>
            <w:vAlign w:val="center"/>
          </w:tcPr>
          <w:p w14:paraId="7F729AE0"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2</w:t>
            </w:r>
          </w:p>
        </w:tc>
        <w:tc>
          <w:tcPr>
            <w:tcW w:w="5235" w:type="dxa"/>
            <w:shd w:val="clear" w:color="auto" w:fill="auto"/>
            <w:tcMar>
              <w:top w:w="0" w:type="dxa"/>
              <w:bottom w:w="0" w:type="dxa"/>
            </w:tcMar>
            <w:vAlign w:val="center"/>
          </w:tcPr>
          <w:p w14:paraId="6AAC7B55"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Payables</w:t>
            </w:r>
          </w:p>
        </w:tc>
        <w:tc>
          <w:tcPr>
            <w:tcW w:w="3086" w:type="dxa"/>
            <w:shd w:val="clear" w:color="auto" w:fill="auto"/>
            <w:tcMar>
              <w:top w:w="0" w:type="dxa"/>
              <w:bottom w:w="0" w:type="dxa"/>
            </w:tcMar>
            <w:vAlign w:val="center"/>
          </w:tcPr>
          <w:p w14:paraId="760464BC"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229,633,742,327</w:t>
            </w:r>
          </w:p>
        </w:tc>
      </w:tr>
      <w:tr w:rsidR="00B63AB9" w:rsidRPr="00075752" w14:paraId="72F3D39D" w14:textId="77777777">
        <w:tc>
          <w:tcPr>
            <w:tcW w:w="696" w:type="dxa"/>
            <w:shd w:val="clear" w:color="auto" w:fill="auto"/>
            <w:tcMar>
              <w:top w:w="0" w:type="dxa"/>
              <w:bottom w:w="0" w:type="dxa"/>
            </w:tcMar>
            <w:vAlign w:val="center"/>
          </w:tcPr>
          <w:p w14:paraId="18CF6114" w14:textId="77777777" w:rsidR="00B63AB9" w:rsidRPr="00075752" w:rsidRDefault="00B63AB9" w:rsidP="00075752">
            <w:pPr>
              <w:tabs>
                <w:tab w:val="left" w:pos="360"/>
                <w:tab w:val="left" w:pos="810"/>
              </w:tabs>
              <w:spacing w:after="120" w:line="360" w:lineRule="auto"/>
              <w:jc w:val="center"/>
              <w:rPr>
                <w:rFonts w:ascii="Arial" w:eastAsia="Arial" w:hAnsi="Arial" w:cs="Arial"/>
                <w:color w:val="010000"/>
                <w:sz w:val="20"/>
                <w:szCs w:val="20"/>
              </w:rPr>
            </w:pPr>
          </w:p>
        </w:tc>
        <w:tc>
          <w:tcPr>
            <w:tcW w:w="5235" w:type="dxa"/>
            <w:shd w:val="clear" w:color="auto" w:fill="auto"/>
            <w:tcMar>
              <w:top w:w="0" w:type="dxa"/>
              <w:bottom w:w="0" w:type="dxa"/>
            </w:tcMar>
            <w:vAlign w:val="center"/>
          </w:tcPr>
          <w:p w14:paraId="66CC0C23"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Short-term debt</w:t>
            </w:r>
          </w:p>
        </w:tc>
        <w:tc>
          <w:tcPr>
            <w:tcW w:w="3086" w:type="dxa"/>
            <w:shd w:val="clear" w:color="auto" w:fill="auto"/>
            <w:tcMar>
              <w:top w:w="0" w:type="dxa"/>
              <w:bottom w:w="0" w:type="dxa"/>
            </w:tcMar>
            <w:vAlign w:val="center"/>
          </w:tcPr>
          <w:p w14:paraId="3CFA8CAE"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216,336,235,771</w:t>
            </w:r>
          </w:p>
        </w:tc>
      </w:tr>
      <w:tr w:rsidR="00B63AB9" w:rsidRPr="00075752" w14:paraId="043CB63C" w14:textId="77777777">
        <w:tc>
          <w:tcPr>
            <w:tcW w:w="696" w:type="dxa"/>
            <w:shd w:val="clear" w:color="auto" w:fill="auto"/>
            <w:tcMar>
              <w:top w:w="0" w:type="dxa"/>
              <w:bottom w:w="0" w:type="dxa"/>
            </w:tcMar>
            <w:vAlign w:val="center"/>
          </w:tcPr>
          <w:p w14:paraId="0F0A172A" w14:textId="77777777" w:rsidR="00B63AB9" w:rsidRPr="00075752" w:rsidRDefault="00B63AB9" w:rsidP="00075752">
            <w:pPr>
              <w:tabs>
                <w:tab w:val="left" w:pos="360"/>
                <w:tab w:val="left" w:pos="810"/>
              </w:tabs>
              <w:spacing w:after="120" w:line="360" w:lineRule="auto"/>
              <w:jc w:val="center"/>
              <w:rPr>
                <w:rFonts w:ascii="Arial" w:eastAsia="Arial" w:hAnsi="Arial" w:cs="Arial"/>
                <w:color w:val="010000"/>
                <w:sz w:val="20"/>
                <w:szCs w:val="20"/>
              </w:rPr>
            </w:pPr>
          </w:p>
        </w:tc>
        <w:tc>
          <w:tcPr>
            <w:tcW w:w="5235" w:type="dxa"/>
            <w:shd w:val="clear" w:color="auto" w:fill="auto"/>
            <w:tcMar>
              <w:top w:w="0" w:type="dxa"/>
              <w:bottom w:w="0" w:type="dxa"/>
            </w:tcMar>
            <w:vAlign w:val="center"/>
          </w:tcPr>
          <w:p w14:paraId="112753BE"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Long-term debt</w:t>
            </w:r>
          </w:p>
        </w:tc>
        <w:tc>
          <w:tcPr>
            <w:tcW w:w="3086" w:type="dxa"/>
            <w:shd w:val="clear" w:color="auto" w:fill="auto"/>
            <w:tcMar>
              <w:top w:w="0" w:type="dxa"/>
              <w:bottom w:w="0" w:type="dxa"/>
            </w:tcMar>
            <w:vAlign w:val="center"/>
          </w:tcPr>
          <w:p w14:paraId="2CC45D51"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13,297,506,556</w:t>
            </w:r>
          </w:p>
        </w:tc>
      </w:tr>
      <w:tr w:rsidR="00B63AB9" w:rsidRPr="00075752" w14:paraId="49C37F40" w14:textId="77777777">
        <w:tc>
          <w:tcPr>
            <w:tcW w:w="696" w:type="dxa"/>
            <w:shd w:val="clear" w:color="auto" w:fill="auto"/>
            <w:tcMar>
              <w:top w:w="0" w:type="dxa"/>
              <w:bottom w:w="0" w:type="dxa"/>
            </w:tcMar>
            <w:vAlign w:val="center"/>
          </w:tcPr>
          <w:p w14:paraId="2827CC0D"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3</w:t>
            </w:r>
          </w:p>
        </w:tc>
        <w:tc>
          <w:tcPr>
            <w:tcW w:w="5235" w:type="dxa"/>
            <w:shd w:val="clear" w:color="auto" w:fill="auto"/>
            <w:tcMar>
              <w:top w:w="0" w:type="dxa"/>
              <w:bottom w:w="0" w:type="dxa"/>
            </w:tcMar>
            <w:vAlign w:val="center"/>
          </w:tcPr>
          <w:p w14:paraId="19CBE7AA"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Source of owners' equity</w:t>
            </w:r>
          </w:p>
        </w:tc>
        <w:tc>
          <w:tcPr>
            <w:tcW w:w="3086" w:type="dxa"/>
            <w:shd w:val="clear" w:color="auto" w:fill="auto"/>
            <w:tcMar>
              <w:top w:w="0" w:type="dxa"/>
              <w:bottom w:w="0" w:type="dxa"/>
            </w:tcMar>
            <w:vAlign w:val="center"/>
          </w:tcPr>
          <w:p w14:paraId="3E832F89"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248,239,707,005</w:t>
            </w:r>
          </w:p>
        </w:tc>
      </w:tr>
      <w:tr w:rsidR="00B63AB9" w:rsidRPr="00075752" w14:paraId="2B8B9C54" w14:textId="77777777">
        <w:tc>
          <w:tcPr>
            <w:tcW w:w="696" w:type="dxa"/>
            <w:shd w:val="clear" w:color="auto" w:fill="auto"/>
            <w:tcMar>
              <w:top w:w="0" w:type="dxa"/>
              <w:bottom w:w="0" w:type="dxa"/>
            </w:tcMar>
            <w:vAlign w:val="center"/>
          </w:tcPr>
          <w:p w14:paraId="6BF583FA"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4</w:t>
            </w:r>
          </w:p>
        </w:tc>
        <w:tc>
          <w:tcPr>
            <w:tcW w:w="5235" w:type="dxa"/>
            <w:shd w:val="clear" w:color="auto" w:fill="auto"/>
            <w:tcMar>
              <w:top w:w="0" w:type="dxa"/>
              <w:bottom w:w="0" w:type="dxa"/>
            </w:tcMar>
            <w:vAlign w:val="center"/>
          </w:tcPr>
          <w:p w14:paraId="44D503D5"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Net revenue from business activities</w:t>
            </w:r>
          </w:p>
        </w:tc>
        <w:tc>
          <w:tcPr>
            <w:tcW w:w="3086" w:type="dxa"/>
            <w:shd w:val="clear" w:color="auto" w:fill="auto"/>
            <w:tcMar>
              <w:top w:w="0" w:type="dxa"/>
              <w:bottom w:w="0" w:type="dxa"/>
            </w:tcMar>
            <w:vAlign w:val="center"/>
          </w:tcPr>
          <w:p w14:paraId="3B00DF84"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627,156,341,166</w:t>
            </w:r>
          </w:p>
        </w:tc>
      </w:tr>
      <w:tr w:rsidR="00B63AB9" w:rsidRPr="00075752" w14:paraId="768474BB" w14:textId="77777777">
        <w:tc>
          <w:tcPr>
            <w:tcW w:w="696" w:type="dxa"/>
            <w:shd w:val="clear" w:color="auto" w:fill="auto"/>
            <w:tcMar>
              <w:top w:w="0" w:type="dxa"/>
              <w:bottom w:w="0" w:type="dxa"/>
            </w:tcMar>
            <w:vAlign w:val="center"/>
          </w:tcPr>
          <w:p w14:paraId="25F90009" w14:textId="75C3FEEF"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5</w:t>
            </w:r>
          </w:p>
        </w:tc>
        <w:tc>
          <w:tcPr>
            <w:tcW w:w="5235" w:type="dxa"/>
            <w:shd w:val="clear" w:color="auto" w:fill="auto"/>
            <w:tcMar>
              <w:top w:w="0" w:type="dxa"/>
              <w:bottom w:w="0" w:type="dxa"/>
            </w:tcMar>
            <w:vAlign w:val="center"/>
          </w:tcPr>
          <w:p w14:paraId="5C83119D"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Profit after tax</w:t>
            </w:r>
          </w:p>
        </w:tc>
        <w:tc>
          <w:tcPr>
            <w:tcW w:w="3086" w:type="dxa"/>
            <w:shd w:val="clear" w:color="auto" w:fill="auto"/>
            <w:tcMar>
              <w:top w:w="0" w:type="dxa"/>
              <w:bottom w:w="0" w:type="dxa"/>
            </w:tcMar>
            <w:vAlign w:val="center"/>
          </w:tcPr>
          <w:p w14:paraId="2B47A4A7"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14,238,906,251</w:t>
            </w:r>
          </w:p>
        </w:tc>
      </w:tr>
    </w:tbl>
    <w:p w14:paraId="527F1082" w14:textId="77777777" w:rsidR="00B63AB9" w:rsidRPr="00075752" w:rsidRDefault="00BE41CB" w:rsidP="00075752">
      <w:pPr>
        <w:numPr>
          <w:ilvl w:val="0"/>
          <w:numId w:val="3"/>
        </w:numPr>
        <w:pBdr>
          <w:top w:val="nil"/>
          <w:left w:val="nil"/>
          <w:bottom w:val="nil"/>
          <w:right w:val="nil"/>
          <w:between w:val="nil"/>
        </w:pBdr>
        <w:tabs>
          <w:tab w:val="left" w:pos="360"/>
          <w:tab w:val="left" w:pos="810"/>
        </w:tabs>
        <w:spacing w:after="120" w:line="360" w:lineRule="auto"/>
        <w:ind w:left="0" w:firstLine="0"/>
        <w:jc w:val="both"/>
        <w:rPr>
          <w:rFonts w:ascii="Arial" w:hAnsi="Arial" w:cs="Arial"/>
          <w:color w:val="010000"/>
          <w:sz w:val="20"/>
          <w:szCs w:val="20"/>
        </w:rPr>
      </w:pPr>
      <w:r w:rsidRPr="00075752">
        <w:rPr>
          <w:rFonts w:ascii="Arial" w:hAnsi="Arial" w:cs="Arial"/>
          <w:color w:val="010000"/>
          <w:sz w:val="20"/>
          <w:szCs w:val="20"/>
        </w:rPr>
        <w:t>Main targets in the Audited Separate Financial Statements 2023:</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5190"/>
        <w:gridCol w:w="3134"/>
      </w:tblGrid>
      <w:tr w:rsidR="00B63AB9" w:rsidRPr="00075752" w14:paraId="6A666247" w14:textId="77777777">
        <w:tc>
          <w:tcPr>
            <w:tcW w:w="693" w:type="dxa"/>
            <w:shd w:val="clear" w:color="auto" w:fill="auto"/>
            <w:tcMar>
              <w:top w:w="0" w:type="dxa"/>
              <w:bottom w:w="0" w:type="dxa"/>
            </w:tcMar>
            <w:vAlign w:val="center"/>
          </w:tcPr>
          <w:p w14:paraId="6FA93EB0"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No.</w:t>
            </w:r>
          </w:p>
        </w:tc>
        <w:tc>
          <w:tcPr>
            <w:tcW w:w="5190" w:type="dxa"/>
            <w:shd w:val="clear" w:color="auto" w:fill="auto"/>
            <w:tcMar>
              <w:top w:w="0" w:type="dxa"/>
              <w:bottom w:w="0" w:type="dxa"/>
            </w:tcMar>
            <w:vAlign w:val="center"/>
          </w:tcPr>
          <w:p w14:paraId="4AD6E29E"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Target</w:t>
            </w:r>
          </w:p>
        </w:tc>
        <w:tc>
          <w:tcPr>
            <w:tcW w:w="3134" w:type="dxa"/>
            <w:shd w:val="clear" w:color="auto" w:fill="auto"/>
            <w:tcMar>
              <w:top w:w="0" w:type="dxa"/>
              <w:bottom w:w="0" w:type="dxa"/>
            </w:tcMar>
            <w:vAlign w:val="center"/>
          </w:tcPr>
          <w:p w14:paraId="30C0AAD4"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Amount</w:t>
            </w:r>
          </w:p>
        </w:tc>
      </w:tr>
      <w:tr w:rsidR="00B63AB9" w:rsidRPr="00075752" w14:paraId="3DB17A81" w14:textId="77777777">
        <w:tc>
          <w:tcPr>
            <w:tcW w:w="693" w:type="dxa"/>
            <w:shd w:val="clear" w:color="auto" w:fill="auto"/>
            <w:tcMar>
              <w:top w:w="0" w:type="dxa"/>
              <w:bottom w:w="0" w:type="dxa"/>
            </w:tcMar>
            <w:vAlign w:val="center"/>
          </w:tcPr>
          <w:p w14:paraId="74D520C5"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1</w:t>
            </w:r>
          </w:p>
        </w:tc>
        <w:tc>
          <w:tcPr>
            <w:tcW w:w="5190" w:type="dxa"/>
            <w:shd w:val="clear" w:color="auto" w:fill="auto"/>
            <w:tcMar>
              <w:top w:w="0" w:type="dxa"/>
              <w:bottom w:w="0" w:type="dxa"/>
            </w:tcMar>
            <w:vAlign w:val="center"/>
          </w:tcPr>
          <w:p w14:paraId="2F5723BF"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Total assets</w:t>
            </w:r>
          </w:p>
        </w:tc>
        <w:tc>
          <w:tcPr>
            <w:tcW w:w="3134" w:type="dxa"/>
            <w:shd w:val="clear" w:color="auto" w:fill="auto"/>
            <w:tcMar>
              <w:top w:w="0" w:type="dxa"/>
              <w:bottom w:w="0" w:type="dxa"/>
            </w:tcMar>
            <w:vAlign w:val="center"/>
          </w:tcPr>
          <w:p w14:paraId="3D032BBB"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469,487,315,160</w:t>
            </w:r>
          </w:p>
        </w:tc>
      </w:tr>
      <w:tr w:rsidR="00B63AB9" w:rsidRPr="00075752" w14:paraId="3A2E8450" w14:textId="77777777">
        <w:tc>
          <w:tcPr>
            <w:tcW w:w="693" w:type="dxa"/>
            <w:shd w:val="clear" w:color="auto" w:fill="auto"/>
            <w:tcMar>
              <w:top w:w="0" w:type="dxa"/>
              <w:bottom w:w="0" w:type="dxa"/>
            </w:tcMar>
            <w:vAlign w:val="center"/>
          </w:tcPr>
          <w:p w14:paraId="5CB56AF9" w14:textId="77777777" w:rsidR="00B63AB9" w:rsidRPr="00075752" w:rsidRDefault="00B63AB9" w:rsidP="00075752">
            <w:pPr>
              <w:tabs>
                <w:tab w:val="left" w:pos="360"/>
                <w:tab w:val="left" w:pos="810"/>
              </w:tabs>
              <w:spacing w:after="120" w:line="360" w:lineRule="auto"/>
              <w:jc w:val="center"/>
              <w:rPr>
                <w:rFonts w:ascii="Arial" w:eastAsia="Arial" w:hAnsi="Arial" w:cs="Arial"/>
                <w:color w:val="010000"/>
                <w:sz w:val="20"/>
                <w:szCs w:val="20"/>
              </w:rPr>
            </w:pPr>
          </w:p>
        </w:tc>
        <w:tc>
          <w:tcPr>
            <w:tcW w:w="5190" w:type="dxa"/>
            <w:shd w:val="clear" w:color="auto" w:fill="auto"/>
            <w:tcMar>
              <w:top w:w="0" w:type="dxa"/>
              <w:bottom w:w="0" w:type="dxa"/>
            </w:tcMar>
            <w:vAlign w:val="center"/>
          </w:tcPr>
          <w:p w14:paraId="36D5B091"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Short-term assets:</w:t>
            </w:r>
          </w:p>
        </w:tc>
        <w:tc>
          <w:tcPr>
            <w:tcW w:w="3134" w:type="dxa"/>
            <w:shd w:val="clear" w:color="auto" w:fill="auto"/>
            <w:tcMar>
              <w:top w:w="0" w:type="dxa"/>
              <w:bottom w:w="0" w:type="dxa"/>
            </w:tcMar>
            <w:vAlign w:val="center"/>
          </w:tcPr>
          <w:p w14:paraId="3EE389E9"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416,638,781,881</w:t>
            </w:r>
          </w:p>
        </w:tc>
      </w:tr>
      <w:tr w:rsidR="00B63AB9" w:rsidRPr="00075752" w14:paraId="1DC96479" w14:textId="77777777">
        <w:tc>
          <w:tcPr>
            <w:tcW w:w="693" w:type="dxa"/>
            <w:shd w:val="clear" w:color="auto" w:fill="auto"/>
            <w:tcMar>
              <w:top w:w="0" w:type="dxa"/>
              <w:bottom w:w="0" w:type="dxa"/>
            </w:tcMar>
            <w:vAlign w:val="center"/>
          </w:tcPr>
          <w:p w14:paraId="2596D4A5" w14:textId="77777777" w:rsidR="00B63AB9" w:rsidRPr="00075752" w:rsidRDefault="00B63AB9" w:rsidP="00075752">
            <w:pPr>
              <w:tabs>
                <w:tab w:val="left" w:pos="360"/>
                <w:tab w:val="left" w:pos="810"/>
              </w:tabs>
              <w:spacing w:after="120" w:line="360" w:lineRule="auto"/>
              <w:jc w:val="center"/>
              <w:rPr>
                <w:rFonts w:ascii="Arial" w:eastAsia="Arial" w:hAnsi="Arial" w:cs="Arial"/>
                <w:color w:val="010000"/>
                <w:sz w:val="20"/>
                <w:szCs w:val="20"/>
              </w:rPr>
            </w:pPr>
          </w:p>
        </w:tc>
        <w:tc>
          <w:tcPr>
            <w:tcW w:w="5190" w:type="dxa"/>
            <w:shd w:val="clear" w:color="auto" w:fill="auto"/>
            <w:tcMar>
              <w:top w:w="0" w:type="dxa"/>
              <w:bottom w:w="0" w:type="dxa"/>
            </w:tcMar>
            <w:vAlign w:val="center"/>
          </w:tcPr>
          <w:p w14:paraId="266880C8"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Long-term assets:</w:t>
            </w:r>
          </w:p>
        </w:tc>
        <w:tc>
          <w:tcPr>
            <w:tcW w:w="3134" w:type="dxa"/>
            <w:shd w:val="clear" w:color="auto" w:fill="auto"/>
            <w:tcMar>
              <w:top w:w="0" w:type="dxa"/>
              <w:bottom w:w="0" w:type="dxa"/>
            </w:tcMar>
            <w:vAlign w:val="center"/>
          </w:tcPr>
          <w:p w14:paraId="12212D09"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52,848,533,279</w:t>
            </w:r>
          </w:p>
        </w:tc>
      </w:tr>
      <w:tr w:rsidR="00B63AB9" w:rsidRPr="00075752" w14:paraId="0861EB5D" w14:textId="77777777">
        <w:tc>
          <w:tcPr>
            <w:tcW w:w="693" w:type="dxa"/>
            <w:shd w:val="clear" w:color="auto" w:fill="auto"/>
            <w:tcMar>
              <w:top w:w="0" w:type="dxa"/>
              <w:bottom w:w="0" w:type="dxa"/>
            </w:tcMar>
            <w:vAlign w:val="center"/>
          </w:tcPr>
          <w:p w14:paraId="52204442"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2</w:t>
            </w:r>
          </w:p>
        </w:tc>
        <w:tc>
          <w:tcPr>
            <w:tcW w:w="5190" w:type="dxa"/>
            <w:shd w:val="clear" w:color="auto" w:fill="auto"/>
            <w:tcMar>
              <w:top w:w="0" w:type="dxa"/>
              <w:bottom w:w="0" w:type="dxa"/>
            </w:tcMar>
            <w:vAlign w:val="center"/>
          </w:tcPr>
          <w:p w14:paraId="3AE76AB3"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Payables</w:t>
            </w:r>
          </w:p>
        </w:tc>
        <w:tc>
          <w:tcPr>
            <w:tcW w:w="3134" w:type="dxa"/>
            <w:shd w:val="clear" w:color="auto" w:fill="auto"/>
            <w:tcMar>
              <w:top w:w="0" w:type="dxa"/>
              <w:bottom w:w="0" w:type="dxa"/>
            </w:tcMar>
            <w:vAlign w:val="center"/>
          </w:tcPr>
          <w:p w14:paraId="5AF51CE2"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221,624,531,198</w:t>
            </w:r>
          </w:p>
        </w:tc>
      </w:tr>
      <w:tr w:rsidR="00B63AB9" w:rsidRPr="00075752" w14:paraId="79C8A6FB" w14:textId="77777777">
        <w:tc>
          <w:tcPr>
            <w:tcW w:w="693" w:type="dxa"/>
            <w:shd w:val="clear" w:color="auto" w:fill="auto"/>
            <w:tcMar>
              <w:top w:w="0" w:type="dxa"/>
              <w:bottom w:w="0" w:type="dxa"/>
            </w:tcMar>
            <w:vAlign w:val="center"/>
          </w:tcPr>
          <w:p w14:paraId="2F8EF96C" w14:textId="77777777" w:rsidR="00B63AB9" w:rsidRPr="00075752" w:rsidRDefault="00B63AB9" w:rsidP="00075752">
            <w:pPr>
              <w:tabs>
                <w:tab w:val="left" w:pos="360"/>
                <w:tab w:val="left" w:pos="810"/>
              </w:tabs>
              <w:spacing w:after="120" w:line="360" w:lineRule="auto"/>
              <w:jc w:val="center"/>
              <w:rPr>
                <w:rFonts w:ascii="Arial" w:eastAsia="Arial" w:hAnsi="Arial" w:cs="Arial"/>
                <w:color w:val="010000"/>
                <w:sz w:val="20"/>
                <w:szCs w:val="20"/>
              </w:rPr>
            </w:pPr>
          </w:p>
        </w:tc>
        <w:tc>
          <w:tcPr>
            <w:tcW w:w="5190" w:type="dxa"/>
            <w:shd w:val="clear" w:color="auto" w:fill="auto"/>
            <w:tcMar>
              <w:top w:w="0" w:type="dxa"/>
              <w:bottom w:w="0" w:type="dxa"/>
            </w:tcMar>
            <w:vAlign w:val="center"/>
          </w:tcPr>
          <w:p w14:paraId="1B036546"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Short-term debt</w:t>
            </w:r>
          </w:p>
        </w:tc>
        <w:tc>
          <w:tcPr>
            <w:tcW w:w="3134" w:type="dxa"/>
            <w:shd w:val="clear" w:color="auto" w:fill="auto"/>
            <w:tcMar>
              <w:top w:w="0" w:type="dxa"/>
              <w:bottom w:w="0" w:type="dxa"/>
            </w:tcMar>
            <w:vAlign w:val="center"/>
          </w:tcPr>
          <w:p w14:paraId="6C50FB61"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208,807,024,650</w:t>
            </w:r>
          </w:p>
        </w:tc>
      </w:tr>
      <w:tr w:rsidR="00B63AB9" w:rsidRPr="00075752" w14:paraId="1A835F46" w14:textId="77777777">
        <w:tc>
          <w:tcPr>
            <w:tcW w:w="693" w:type="dxa"/>
            <w:shd w:val="clear" w:color="auto" w:fill="auto"/>
            <w:tcMar>
              <w:top w:w="0" w:type="dxa"/>
              <w:bottom w:w="0" w:type="dxa"/>
            </w:tcMar>
            <w:vAlign w:val="center"/>
          </w:tcPr>
          <w:p w14:paraId="21BAD702" w14:textId="77777777" w:rsidR="00B63AB9" w:rsidRPr="00075752" w:rsidRDefault="00B63AB9" w:rsidP="00075752">
            <w:pPr>
              <w:tabs>
                <w:tab w:val="left" w:pos="360"/>
                <w:tab w:val="left" w:pos="810"/>
              </w:tabs>
              <w:spacing w:after="120" w:line="360" w:lineRule="auto"/>
              <w:jc w:val="center"/>
              <w:rPr>
                <w:rFonts w:ascii="Arial" w:eastAsia="Arial" w:hAnsi="Arial" w:cs="Arial"/>
                <w:color w:val="010000"/>
                <w:sz w:val="20"/>
                <w:szCs w:val="20"/>
              </w:rPr>
            </w:pPr>
          </w:p>
        </w:tc>
        <w:tc>
          <w:tcPr>
            <w:tcW w:w="5190" w:type="dxa"/>
            <w:shd w:val="clear" w:color="auto" w:fill="auto"/>
            <w:tcMar>
              <w:top w:w="0" w:type="dxa"/>
              <w:bottom w:w="0" w:type="dxa"/>
            </w:tcMar>
            <w:vAlign w:val="center"/>
          </w:tcPr>
          <w:p w14:paraId="17D729E4"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Long-term debt</w:t>
            </w:r>
          </w:p>
        </w:tc>
        <w:tc>
          <w:tcPr>
            <w:tcW w:w="3134" w:type="dxa"/>
            <w:shd w:val="clear" w:color="auto" w:fill="auto"/>
            <w:tcMar>
              <w:top w:w="0" w:type="dxa"/>
              <w:bottom w:w="0" w:type="dxa"/>
            </w:tcMar>
            <w:vAlign w:val="center"/>
          </w:tcPr>
          <w:p w14:paraId="346ED237"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12,817,506,548</w:t>
            </w:r>
          </w:p>
        </w:tc>
      </w:tr>
      <w:tr w:rsidR="00B63AB9" w:rsidRPr="00075752" w14:paraId="13D60E9A" w14:textId="77777777">
        <w:tc>
          <w:tcPr>
            <w:tcW w:w="693" w:type="dxa"/>
            <w:shd w:val="clear" w:color="auto" w:fill="auto"/>
            <w:tcMar>
              <w:top w:w="0" w:type="dxa"/>
              <w:bottom w:w="0" w:type="dxa"/>
            </w:tcMar>
            <w:vAlign w:val="center"/>
          </w:tcPr>
          <w:p w14:paraId="3CEACB5C"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3</w:t>
            </w:r>
          </w:p>
        </w:tc>
        <w:tc>
          <w:tcPr>
            <w:tcW w:w="5190" w:type="dxa"/>
            <w:shd w:val="clear" w:color="auto" w:fill="auto"/>
            <w:tcMar>
              <w:top w:w="0" w:type="dxa"/>
              <w:bottom w:w="0" w:type="dxa"/>
            </w:tcMar>
            <w:vAlign w:val="center"/>
          </w:tcPr>
          <w:p w14:paraId="1688547A"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Source of owners' equity</w:t>
            </w:r>
          </w:p>
        </w:tc>
        <w:tc>
          <w:tcPr>
            <w:tcW w:w="3134" w:type="dxa"/>
            <w:shd w:val="clear" w:color="auto" w:fill="auto"/>
            <w:tcMar>
              <w:top w:w="0" w:type="dxa"/>
              <w:bottom w:w="0" w:type="dxa"/>
            </w:tcMar>
            <w:vAlign w:val="center"/>
          </w:tcPr>
          <w:p w14:paraId="071D8DD0"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247,862,783,962</w:t>
            </w:r>
          </w:p>
        </w:tc>
      </w:tr>
      <w:tr w:rsidR="00B63AB9" w:rsidRPr="00075752" w14:paraId="28DFF45F" w14:textId="77777777">
        <w:tc>
          <w:tcPr>
            <w:tcW w:w="693" w:type="dxa"/>
            <w:shd w:val="clear" w:color="auto" w:fill="auto"/>
            <w:tcMar>
              <w:top w:w="0" w:type="dxa"/>
              <w:bottom w:w="0" w:type="dxa"/>
            </w:tcMar>
            <w:vAlign w:val="center"/>
          </w:tcPr>
          <w:p w14:paraId="15FAD99A"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4</w:t>
            </w:r>
          </w:p>
        </w:tc>
        <w:tc>
          <w:tcPr>
            <w:tcW w:w="5190" w:type="dxa"/>
            <w:shd w:val="clear" w:color="auto" w:fill="auto"/>
            <w:tcMar>
              <w:top w:w="0" w:type="dxa"/>
              <w:bottom w:w="0" w:type="dxa"/>
            </w:tcMar>
            <w:vAlign w:val="center"/>
          </w:tcPr>
          <w:p w14:paraId="537AB080"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Net revenue from business activities</w:t>
            </w:r>
          </w:p>
        </w:tc>
        <w:tc>
          <w:tcPr>
            <w:tcW w:w="3134" w:type="dxa"/>
            <w:shd w:val="clear" w:color="auto" w:fill="auto"/>
            <w:tcMar>
              <w:top w:w="0" w:type="dxa"/>
              <w:bottom w:w="0" w:type="dxa"/>
            </w:tcMar>
            <w:vAlign w:val="center"/>
          </w:tcPr>
          <w:p w14:paraId="24D20A40"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600,416,150,969</w:t>
            </w:r>
          </w:p>
        </w:tc>
      </w:tr>
      <w:tr w:rsidR="00B63AB9" w:rsidRPr="00075752" w14:paraId="1FB93857" w14:textId="77777777">
        <w:tc>
          <w:tcPr>
            <w:tcW w:w="693" w:type="dxa"/>
            <w:shd w:val="clear" w:color="auto" w:fill="auto"/>
            <w:tcMar>
              <w:top w:w="0" w:type="dxa"/>
              <w:bottom w:w="0" w:type="dxa"/>
            </w:tcMar>
            <w:vAlign w:val="center"/>
          </w:tcPr>
          <w:p w14:paraId="32AEA00D"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5¬</w:t>
            </w:r>
          </w:p>
        </w:tc>
        <w:tc>
          <w:tcPr>
            <w:tcW w:w="5190" w:type="dxa"/>
            <w:shd w:val="clear" w:color="auto" w:fill="auto"/>
            <w:tcMar>
              <w:top w:w="0" w:type="dxa"/>
              <w:bottom w:w="0" w:type="dxa"/>
            </w:tcMar>
            <w:vAlign w:val="center"/>
          </w:tcPr>
          <w:p w14:paraId="703EEDC2"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Profit after tax</w:t>
            </w:r>
          </w:p>
        </w:tc>
        <w:tc>
          <w:tcPr>
            <w:tcW w:w="3134" w:type="dxa"/>
            <w:shd w:val="clear" w:color="auto" w:fill="auto"/>
            <w:tcMar>
              <w:top w:w="0" w:type="dxa"/>
              <w:bottom w:w="0" w:type="dxa"/>
            </w:tcMar>
            <w:vAlign w:val="center"/>
          </w:tcPr>
          <w:p w14:paraId="39341FEA"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14,028,109,579</w:t>
            </w:r>
          </w:p>
        </w:tc>
      </w:tr>
    </w:tbl>
    <w:p w14:paraId="1FB31D67" w14:textId="77777777" w:rsidR="00B63AB9" w:rsidRPr="00075752" w:rsidRDefault="00BE41CB" w:rsidP="00075752">
      <w:pPr>
        <w:keepNext/>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Article 4: Approve the Report on remuneration payment for the Board of Directors and the Supervisory Board in 2023. In details:</w:t>
      </w:r>
    </w:p>
    <w:p w14:paraId="357BA9F2" w14:textId="77777777" w:rsidR="00B63AB9" w:rsidRPr="00075752" w:rsidRDefault="00BE41CB" w:rsidP="00075752">
      <w:pPr>
        <w:numPr>
          <w:ilvl w:val="0"/>
          <w:numId w:val="5"/>
        </w:numPr>
        <w:pBdr>
          <w:top w:val="nil"/>
          <w:left w:val="nil"/>
          <w:bottom w:val="nil"/>
          <w:right w:val="nil"/>
          <w:between w:val="nil"/>
        </w:pBdr>
        <w:tabs>
          <w:tab w:val="left" w:pos="360"/>
          <w:tab w:val="left" w:pos="810"/>
          <w:tab w:val="left" w:pos="3370"/>
        </w:tabs>
        <w:spacing w:after="120" w:line="360" w:lineRule="auto"/>
        <w:jc w:val="both"/>
        <w:rPr>
          <w:rFonts w:ascii="Arial" w:hAnsi="Arial" w:cs="Arial"/>
          <w:color w:val="010000"/>
          <w:sz w:val="20"/>
          <w:szCs w:val="20"/>
        </w:rPr>
      </w:pPr>
      <w:r w:rsidRPr="00075752">
        <w:rPr>
          <w:rFonts w:ascii="Arial" w:hAnsi="Arial" w:cs="Arial"/>
          <w:color w:val="010000"/>
          <w:sz w:val="20"/>
          <w:szCs w:val="20"/>
        </w:rPr>
        <w:t>Total remuneration of the Board of Directors: VND 288,000,000</w:t>
      </w:r>
    </w:p>
    <w:p w14:paraId="64338539" w14:textId="77777777" w:rsidR="00B63AB9" w:rsidRPr="00075752" w:rsidRDefault="00BE41CB" w:rsidP="00075752">
      <w:pPr>
        <w:numPr>
          <w:ilvl w:val="0"/>
          <w:numId w:val="5"/>
        </w:numPr>
        <w:pBdr>
          <w:top w:val="nil"/>
          <w:left w:val="nil"/>
          <w:bottom w:val="nil"/>
          <w:right w:val="nil"/>
          <w:between w:val="nil"/>
        </w:pBdr>
        <w:tabs>
          <w:tab w:val="left" w:pos="360"/>
          <w:tab w:val="left" w:pos="810"/>
          <w:tab w:val="left" w:pos="3370"/>
        </w:tabs>
        <w:spacing w:after="120" w:line="360" w:lineRule="auto"/>
        <w:jc w:val="both"/>
        <w:rPr>
          <w:rFonts w:ascii="Arial" w:hAnsi="Arial" w:cs="Arial"/>
          <w:color w:val="010000"/>
          <w:sz w:val="20"/>
          <w:szCs w:val="20"/>
        </w:rPr>
      </w:pPr>
      <w:r w:rsidRPr="00075752">
        <w:rPr>
          <w:rFonts w:ascii="Arial" w:hAnsi="Arial" w:cs="Arial"/>
          <w:color w:val="010000"/>
          <w:sz w:val="20"/>
          <w:szCs w:val="20"/>
        </w:rPr>
        <w:t>Total remuneration of the Supervisory Board: VND 60,000,000</w:t>
      </w:r>
    </w:p>
    <w:p w14:paraId="278AD385"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 xml:space="preserve">Article 5: Approve the Proposal on profit distribution and dividend payment in 2023; </w:t>
      </w:r>
      <w:proofErr w:type="gramStart"/>
      <w:r w:rsidRPr="00075752">
        <w:rPr>
          <w:rFonts w:ascii="Arial" w:hAnsi="Arial" w:cs="Arial"/>
          <w:color w:val="010000"/>
          <w:sz w:val="20"/>
          <w:szCs w:val="20"/>
        </w:rPr>
        <w:t>In</w:t>
      </w:r>
      <w:proofErr w:type="gramEnd"/>
      <w:r w:rsidRPr="00075752">
        <w:rPr>
          <w:rFonts w:ascii="Arial" w:hAnsi="Arial" w:cs="Arial"/>
          <w:color w:val="010000"/>
          <w:sz w:val="20"/>
          <w:szCs w:val="20"/>
        </w:rPr>
        <w:t xml:space="preserve"> details: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5601"/>
        <w:gridCol w:w="2722"/>
      </w:tblGrid>
      <w:tr w:rsidR="00B63AB9" w:rsidRPr="00075752" w14:paraId="2A6E5D98" w14:textId="77777777" w:rsidTr="00075752">
        <w:tc>
          <w:tcPr>
            <w:tcW w:w="694" w:type="dxa"/>
            <w:shd w:val="clear" w:color="auto" w:fill="auto"/>
            <w:tcMar>
              <w:top w:w="0" w:type="dxa"/>
              <w:bottom w:w="0" w:type="dxa"/>
            </w:tcMar>
            <w:vAlign w:val="center"/>
          </w:tcPr>
          <w:p w14:paraId="13E159CE"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No.</w:t>
            </w:r>
          </w:p>
        </w:tc>
        <w:tc>
          <w:tcPr>
            <w:tcW w:w="5601" w:type="dxa"/>
            <w:shd w:val="clear" w:color="auto" w:fill="auto"/>
            <w:tcMar>
              <w:top w:w="0" w:type="dxa"/>
              <w:bottom w:w="0" w:type="dxa"/>
            </w:tcMar>
            <w:vAlign w:val="center"/>
          </w:tcPr>
          <w:p w14:paraId="473EE810"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Target</w:t>
            </w:r>
          </w:p>
        </w:tc>
        <w:tc>
          <w:tcPr>
            <w:tcW w:w="2722" w:type="dxa"/>
            <w:shd w:val="clear" w:color="auto" w:fill="auto"/>
            <w:tcMar>
              <w:top w:w="0" w:type="dxa"/>
              <w:bottom w:w="0" w:type="dxa"/>
            </w:tcMar>
            <w:vAlign w:val="center"/>
          </w:tcPr>
          <w:p w14:paraId="53597871"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Amount</w:t>
            </w:r>
          </w:p>
        </w:tc>
      </w:tr>
      <w:tr w:rsidR="00B63AB9" w:rsidRPr="00075752" w14:paraId="78482099" w14:textId="77777777" w:rsidTr="00075752">
        <w:tc>
          <w:tcPr>
            <w:tcW w:w="694" w:type="dxa"/>
            <w:shd w:val="clear" w:color="auto" w:fill="auto"/>
            <w:tcMar>
              <w:top w:w="0" w:type="dxa"/>
              <w:bottom w:w="0" w:type="dxa"/>
            </w:tcMar>
            <w:vAlign w:val="center"/>
          </w:tcPr>
          <w:p w14:paraId="67096230"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I</w:t>
            </w:r>
          </w:p>
        </w:tc>
        <w:tc>
          <w:tcPr>
            <w:tcW w:w="5601" w:type="dxa"/>
            <w:shd w:val="clear" w:color="auto" w:fill="auto"/>
            <w:tcMar>
              <w:top w:w="0" w:type="dxa"/>
              <w:bottom w:w="0" w:type="dxa"/>
            </w:tcMar>
            <w:vAlign w:val="center"/>
          </w:tcPr>
          <w:p w14:paraId="6E08C0B3"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Profit after tax</w:t>
            </w:r>
          </w:p>
        </w:tc>
        <w:tc>
          <w:tcPr>
            <w:tcW w:w="2722" w:type="dxa"/>
            <w:shd w:val="clear" w:color="auto" w:fill="auto"/>
            <w:tcMar>
              <w:top w:w="0" w:type="dxa"/>
              <w:bottom w:w="0" w:type="dxa"/>
            </w:tcMar>
            <w:vAlign w:val="center"/>
          </w:tcPr>
          <w:p w14:paraId="60D57721"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14,238,906,251</w:t>
            </w:r>
          </w:p>
        </w:tc>
      </w:tr>
      <w:tr w:rsidR="00B63AB9" w:rsidRPr="00075752" w14:paraId="370F7F7F" w14:textId="77777777" w:rsidTr="00075752">
        <w:tc>
          <w:tcPr>
            <w:tcW w:w="694" w:type="dxa"/>
            <w:shd w:val="clear" w:color="auto" w:fill="auto"/>
            <w:tcMar>
              <w:top w:w="0" w:type="dxa"/>
              <w:bottom w:w="0" w:type="dxa"/>
            </w:tcMar>
            <w:vAlign w:val="center"/>
          </w:tcPr>
          <w:p w14:paraId="02179834"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lastRenderedPageBreak/>
              <w:t>II</w:t>
            </w:r>
          </w:p>
        </w:tc>
        <w:tc>
          <w:tcPr>
            <w:tcW w:w="5601" w:type="dxa"/>
            <w:shd w:val="clear" w:color="auto" w:fill="auto"/>
            <w:tcMar>
              <w:top w:w="0" w:type="dxa"/>
              <w:bottom w:w="0" w:type="dxa"/>
            </w:tcMar>
            <w:vAlign w:val="center"/>
          </w:tcPr>
          <w:p w14:paraId="5E36B7DD"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Profit distribution (equivalent to 100%)</w:t>
            </w:r>
          </w:p>
        </w:tc>
        <w:tc>
          <w:tcPr>
            <w:tcW w:w="2722" w:type="dxa"/>
            <w:shd w:val="clear" w:color="auto" w:fill="auto"/>
            <w:tcMar>
              <w:top w:w="0" w:type="dxa"/>
              <w:bottom w:w="0" w:type="dxa"/>
            </w:tcMar>
            <w:vAlign w:val="center"/>
          </w:tcPr>
          <w:p w14:paraId="7438833C"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14,238,906,251</w:t>
            </w:r>
          </w:p>
        </w:tc>
      </w:tr>
      <w:tr w:rsidR="00B63AB9" w:rsidRPr="00075752" w14:paraId="0AAE80CD" w14:textId="77777777" w:rsidTr="00075752">
        <w:tc>
          <w:tcPr>
            <w:tcW w:w="694" w:type="dxa"/>
            <w:shd w:val="clear" w:color="auto" w:fill="auto"/>
            <w:tcMar>
              <w:top w:w="0" w:type="dxa"/>
              <w:bottom w:w="0" w:type="dxa"/>
            </w:tcMar>
            <w:vAlign w:val="center"/>
          </w:tcPr>
          <w:p w14:paraId="689AF7C9"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1</w:t>
            </w:r>
          </w:p>
        </w:tc>
        <w:tc>
          <w:tcPr>
            <w:tcW w:w="5601" w:type="dxa"/>
            <w:shd w:val="clear" w:color="auto" w:fill="auto"/>
            <w:tcMar>
              <w:top w:w="0" w:type="dxa"/>
              <w:bottom w:w="0" w:type="dxa"/>
            </w:tcMar>
            <w:vAlign w:val="center"/>
          </w:tcPr>
          <w:p w14:paraId="1C20D342"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Appropriation for funds (equivalent to 48.89 %). Specifically:</w:t>
            </w:r>
          </w:p>
        </w:tc>
        <w:tc>
          <w:tcPr>
            <w:tcW w:w="2722" w:type="dxa"/>
            <w:shd w:val="clear" w:color="auto" w:fill="auto"/>
            <w:tcMar>
              <w:top w:w="0" w:type="dxa"/>
              <w:bottom w:w="0" w:type="dxa"/>
            </w:tcMar>
            <w:vAlign w:val="center"/>
          </w:tcPr>
          <w:p w14:paraId="32553A68"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6,961,126,251</w:t>
            </w:r>
          </w:p>
        </w:tc>
      </w:tr>
      <w:tr w:rsidR="00B63AB9" w:rsidRPr="00075752" w14:paraId="3169D973" w14:textId="77777777" w:rsidTr="00075752">
        <w:tc>
          <w:tcPr>
            <w:tcW w:w="694" w:type="dxa"/>
            <w:shd w:val="clear" w:color="auto" w:fill="auto"/>
            <w:tcMar>
              <w:top w:w="0" w:type="dxa"/>
              <w:bottom w:w="0" w:type="dxa"/>
            </w:tcMar>
            <w:vAlign w:val="center"/>
          </w:tcPr>
          <w:p w14:paraId="638FE3DB" w14:textId="77777777" w:rsidR="00B63AB9" w:rsidRPr="00075752" w:rsidRDefault="00B63AB9" w:rsidP="00075752">
            <w:pPr>
              <w:tabs>
                <w:tab w:val="left" w:pos="360"/>
                <w:tab w:val="left" w:pos="810"/>
              </w:tabs>
              <w:spacing w:after="120" w:line="360" w:lineRule="auto"/>
              <w:jc w:val="center"/>
              <w:rPr>
                <w:rFonts w:ascii="Arial" w:eastAsia="Arial" w:hAnsi="Arial" w:cs="Arial"/>
                <w:color w:val="010000"/>
                <w:sz w:val="20"/>
                <w:szCs w:val="20"/>
              </w:rPr>
            </w:pPr>
          </w:p>
        </w:tc>
        <w:tc>
          <w:tcPr>
            <w:tcW w:w="5601" w:type="dxa"/>
            <w:shd w:val="clear" w:color="auto" w:fill="auto"/>
            <w:tcMar>
              <w:top w:w="0" w:type="dxa"/>
              <w:bottom w:w="0" w:type="dxa"/>
            </w:tcMar>
            <w:vAlign w:val="center"/>
          </w:tcPr>
          <w:p w14:paraId="222528EB"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Appropriation for the reserve fund for supplementing charter capital (20%)</w:t>
            </w:r>
          </w:p>
        </w:tc>
        <w:tc>
          <w:tcPr>
            <w:tcW w:w="2722" w:type="dxa"/>
            <w:shd w:val="clear" w:color="auto" w:fill="auto"/>
            <w:tcMar>
              <w:top w:w="0" w:type="dxa"/>
              <w:bottom w:w="0" w:type="dxa"/>
            </w:tcMar>
            <w:vAlign w:val="center"/>
          </w:tcPr>
          <w:p w14:paraId="069F897B"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1,392,225,250</w:t>
            </w:r>
          </w:p>
        </w:tc>
      </w:tr>
      <w:tr w:rsidR="00B63AB9" w:rsidRPr="00075752" w14:paraId="287191A5" w14:textId="77777777" w:rsidTr="00075752">
        <w:tc>
          <w:tcPr>
            <w:tcW w:w="694" w:type="dxa"/>
            <w:shd w:val="clear" w:color="auto" w:fill="auto"/>
            <w:tcMar>
              <w:top w:w="0" w:type="dxa"/>
              <w:bottom w:w="0" w:type="dxa"/>
            </w:tcMar>
            <w:vAlign w:val="center"/>
          </w:tcPr>
          <w:p w14:paraId="44C7D93C" w14:textId="77777777" w:rsidR="00B63AB9" w:rsidRPr="00075752" w:rsidRDefault="00B63AB9" w:rsidP="00075752">
            <w:pPr>
              <w:tabs>
                <w:tab w:val="left" w:pos="360"/>
                <w:tab w:val="left" w:pos="810"/>
              </w:tabs>
              <w:spacing w:after="120" w:line="360" w:lineRule="auto"/>
              <w:jc w:val="center"/>
              <w:rPr>
                <w:rFonts w:ascii="Arial" w:eastAsia="Arial" w:hAnsi="Arial" w:cs="Arial"/>
                <w:color w:val="010000"/>
                <w:sz w:val="20"/>
                <w:szCs w:val="20"/>
              </w:rPr>
            </w:pPr>
          </w:p>
        </w:tc>
        <w:tc>
          <w:tcPr>
            <w:tcW w:w="5601" w:type="dxa"/>
            <w:shd w:val="clear" w:color="auto" w:fill="auto"/>
            <w:tcMar>
              <w:top w:w="0" w:type="dxa"/>
              <w:bottom w:w="0" w:type="dxa"/>
            </w:tcMar>
            <w:vAlign w:val="center"/>
          </w:tcPr>
          <w:p w14:paraId="41E59F13"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Appropriation for investment and development funds (60%)</w:t>
            </w:r>
          </w:p>
        </w:tc>
        <w:tc>
          <w:tcPr>
            <w:tcW w:w="2722" w:type="dxa"/>
            <w:shd w:val="clear" w:color="auto" w:fill="auto"/>
            <w:tcMar>
              <w:top w:w="0" w:type="dxa"/>
              <w:bottom w:w="0" w:type="dxa"/>
            </w:tcMar>
            <w:vAlign w:val="center"/>
          </w:tcPr>
          <w:p w14:paraId="2114724C"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4,176,675,751</w:t>
            </w:r>
          </w:p>
        </w:tc>
      </w:tr>
      <w:tr w:rsidR="00B63AB9" w:rsidRPr="00075752" w14:paraId="46887835" w14:textId="77777777" w:rsidTr="00075752">
        <w:tc>
          <w:tcPr>
            <w:tcW w:w="694" w:type="dxa"/>
            <w:shd w:val="clear" w:color="auto" w:fill="auto"/>
            <w:tcMar>
              <w:top w:w="0" w:type="dxa"/>
              <w:bottom w:w="0" w:type="dxa"/>
            </w:tcMar>
            <w:vAlign w:val="center"/>
          </w:tcPr>
          <w:p w14:paraId="27ED3E16" w14:textId="77777777" w:rsidR="00B63AB9" w:rsidRPr="00075752" w:rsidRDefault="00B63AB9" w:rsidP="00075752">
            <w:pPr>
              <w:tabs>
                <w:tab w:val="left" w:pos="360"/>
                <w:tab w:val="left" w:pos="810"/>
              </w:tabs>
              <w:spacing w:after="120" w:line="360" w:lineRule="auto"/>
              <w:jc w:val="center"/>
              <w:rPr>
                <w:rFonts w:ascii="Arial" w:eastAsia="Arial" w:hAnsi="Arial" w:cs="Arial"/>
                <w:color w:val="010000"/>
                <w:sz w:val="20"/>
                <w:szCs w:val="20"/>
              </w:rPr>
            </w:pPr>
          </w:p>
        </w:tc>
        <w:tc>
          <w:tcPr>
            <w:tcW w:w="5601" w:type="dxa"/>
            <w:shd w:val="clear" w:color="auto" w:fill="auto"/>
            <w:tcMar>
              <w:top w:w="0" w:type="dxa"/>
              <w:bottom w:w="0" w:type="dxa"/>
            </w:tcMar>
            <w:vAlign w:val="center"/>
          </w:tcPr>
          <w:p w14:paraId="53738EFC"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Appropriation for financial reserve fund</w:t>
            </w:r>
          </w:p>
        </w:tc>
        <w:tc>
          <w:tcPr>
            <w:tcW w:w="2722" w:type="dxa"/>
            <w:shd w:val="clear" w:color="auto" w:fill="auto"/>
            <w:tcMar>
              <w:top w:w="0" w:type="dxa"/>
              <w:bottom w:w="0" w:type="dxa"/>
            </w:tcMar>
            <w:vAlign w:val="center"/>
          </w:tcPr>
          <w:p w14:paraId="13412DD8"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1,392,225,250</w:t>
            </w:r>
          </w:p>
        </w:tc>
      </w:tr>
      <w:tr w:rsidR="00B63AB9" w:rsidRPr="00075752" w14:paraId="3535A453" w14:textId="77777777" w:rsidTr="00075752">
        <w:tc>
          <w:tcPr>
            <w:tcW w:w="694" w:type="dxa"/>
            <w:shd w:val="clear" w:color="auto" w:fill="auto"/>
            <w:tcMar>
              <w:top w:w="0" w:type="dxa"/>
              <w:bottom w:w="0" w:type="dxa"/>
            </w:tcMar>
            <w:vAlign w:val="center"/>
          </w:tcPr>
          <w:p w14:paraId="7C7860B1"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b/>
                <w:bCs/>
                <w:color w:val="010000"/>
                <w:sz w:val="20"/>
                <w:szCs w:val="20"/>
              </w:rPr>
              <w:t>2</w:t>
            </w:r>
          </w:p>
        </w:tc>
        <w:tc>
          <w:tcPr>
            <w:tcW w:w="5601" w:type="dxa"/>
            <w:shd w:val="clear" w:color="auto" w:fill="auto"/>
            <w:tcMar>
              <w:top w:w="0" w:type="dxa"/>
              <w:bottom w:w="0" w:type="dxa"/>
            </w:tcMar>
            <w:vAlign w:val="center"/>
          </w:tcPr>
          <w:p w14:paraId="31226588"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Dividend payment of VND 1,000/share (equivalent to 51.11 %)</w:t>
            </w:r>
          </w:p>
        </w:tc>
        <w:tc>
          <w:tcPr>
            <w:tcW w:w="2722" w:type="dxa"/>
            <w:shd w:val="clear" w:color="auto" w:fill="auto"/>
            <w:tcMar>
              <w:top w:w="0" w:type="dxa"/>
              <w:bottom w:w="0" w:type="dxa"/>
            </w:tcMar>
            <w:vAlign w:val="center"/>
          </w:tcPr>
          <w:p w14:paraId="0F9DD65F"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VND 7,277,780,000</w:t>
            </w:r>
          </w:p>
        </w:tc>
      </w:tr>
      <w:tr w:rsidR="00B63AB9" w:rsidRPr="00075752" w14:paraId="493B9EB9" w14:textId="77777777" w:rsidTr="00075752">
        <w:tc>
          <w:tcPr>
            <w:tcW w:w="694" w:type="dxa"/>
            <w:shd w:val="clear" w:color="auto" w:fill="auto"/>
            <w:tcMar>
              <w:top w:w="0" w:type="dxa"/>
              <w:bottom w:w="0" w:type="dxa"/>
            </w:tcMar>
            <w:vAlign w:val="center"/>
          </w:tcPr>
          <w:p w14:paraId="65EDC543"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III</w:t>
            </w:r>
          </w:p>
        </w:tc>
        <w:tc>
          <w:tcPr>
            <w:tcW w:w="5601" w:type="dxa"/>
            <w:shd w:val="clear" w:color="auto" w:fill="auto"/>
            <w:tcMar>
              <w:top w:w="0" w:type="dxa"/>
              <w:bottom w:w="0" w:type="dxa"/>
            </w:tcMar>
            <w:vAlign w:val="center"/>
          </w:tcPr>
          <w:p w14:paraId="6DB5959F"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Remaining undistributed profits transferred to following year (equivalent to 0%)</w:t>
            </w:r>
          </w:p>
        </w:tc>
        <w:tc>
          <w:tcPr>
            <w:tcW w:w="2722" w:type="dxa"/>
            <w:shd w:val="clear" w:color="auto" w:fill="auto"/>
            <w:tcMar>
              <w:top w:w="0" w:type="dxa"/>
              <w:bottom w:w="0" w:type="dxa"/>
            </w:tcMar>
            <w:vAlign w:val="center"/>
          </w:tcPr>
          <w:p w14:paraId="6A39DF62"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center"/>
              <w:rPr>
                <w:rFonts w:ascii="Arial" w:eastAsia="Arial" w:hAnsi="Arial" w:cs="Arial"/>
                <w:color w:val="010000"/>
                <w:sz w:val="20"/>
                <w:szCs w:val="20"/>
              </w:rPr>
            </w:pPr>
            <w:r w:rsidRPr="00075752">
              <w:rPr>
                <w:rFonts w:ascii="Arial" w:hAnsi="Arial" w:cs="Arial"/>
                <w:color w:val="010000"/>
                <w:sz w:val="20"/>
                <w:szCs w:val="20"/>
              </w:rPr>
              <w:t>-</w:t>
            </w:r>
          </w:p>
        </w:tc>
      </w:tr>
    </w:tbl>
    <w:p w14:paraId="0F44FD2C" w14:textId="77777777" w:rsidR="00B63AB9" w:rsidRPr="00075752" w:rsidRDefault="00BE41CB" w:rsidP="00075752">
      <w:pPr>
        <w:keepNext/>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Article 6: Approve the Proposal on the selection of an audit company for the Financial Statements 2024. In details:</w:t>
      </w:r>
    </w:p>
    <w:p w14:paraId="64B12BEB"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 xml:space="preserve">Name of </w:t>
      </w:r>
      <w:proofErr w:type="gramStart"/>
      <w:r w:rsidRPr="00075752">
        <w:rPr>
          <w:rFonts w:ascii="Arial" w:hAnsi="Arial" w:cs="Arial"/>
          <w:color w:val="010000"/>
          <w:sz w:val="20"/>
          <w:szCs w:val="20"/>
        </w:rPr>
        <w:t>audit company</w:t>
      </w:r>
      <w:proofErr w:type="gramEnd"/>
      <w:r w:rsidRPr="00075752">
        <w:rPr>
          <w:rFonts w:ascii="Arial" w:hAnsi="Arial" w:cs="Arial"/>
          <w:color w:val="010000"/>
          <w:sz w:val="20"/>
          <w:szCs w:val="20"/>
        </w:rPr>
        <w:t>:</w:t>
      </w:r>
    </w:p>
    <w:p w14:paraId="7BEEB347" w14:textId="77777777" w:rsidR="00B63AB9" w:rsidRPr="00075752" w:rsidRDefault="00BE41CB" w:rsidP="00075752">
      <w:pPr>
        <w:numPr>
          <w:ilvl w:val="0"/>
          <w:numId w:val="5"/>
        </w:numPr>
        <w:pBdr>
          <w:top w:val="nil"/>
          <w:left w:val="nil"/>
          <w:bottom w:val="nil"/>
          <w:right w:val="nil"/>
          <w:between w:val="nil"/>
        </w:pBdr>
        <w:tabs>
          <w:tab w:val="left" w:pos="360"/>
          <w:tab w:val="left" w:pos="810"/>
          <w:tab w:val="left" w:pos="1341"/>
        </w:tabs>
        <w:spacing w:after="120" w:line="360" w:lineRule="auto"/>
        <w:jc w:val="both"/>
        <w:rPr>
          <w:rFonts w:ascii="Arial" w:hAnsi="Arial" w:cs="Arial"/>
          <w:color w:val="010000"/>
          <w:sz w:val="20"/>
          <w:szCs w:val="20"/>
        </w:rPr>
      </w:pPr>
      <w:r w:rsidRPr="00075752">
        <w:rPr>
          <w:rFonts w:ascii="Arial" w:hAnsi="Arial" w:cs="Arial"/>
          <w:color w:val="010000"/>
          <w:sz w:val="20"/>
          <w:szCs w:val="20"/>
        </w:rPr>
        <w:t xml:space="preserve">Ha </w:t>
      </w:r>
      <w:proofErr w:type="spellStart"/>
      <w:r w:rsidRPr="00075752">
        <w:rPr>
          <w:rFonts w:ascii="Arial" w:hAnsi="Arial" w:cs="Arial"/>
          <w:color w:val="010000"/>
          <w:sz w:val="20"/>
          <w:szCs w:val="20"/>
        </w:rPr>
        <w:t>Noi</w:t>
      </w:r>
      <w:proofErr w:type="spellEnd"/>
      <w:r w:rsidRPr="00075752">
        <w:rPr>
          <w:rFonts w:ascii="Arial" w:hAnsi="Arial" w:cs="Arial"/>
          <w:color w:val="010000"/>
          <w:sz w:val="20"/>
          <w:szCs w:val="20"/>
        </w:rPr>
        <w:t xml:space="preserve"> Profession Of Auditing &amp; Accounting Company Limited</w:t>
      </w:r>
    </w:p>
    <w:p w14:paraId="0F60B3FD" w14:textId="77777777" w:rsidR="00B63AB9" w:rsidRPr="00075752" w:rsidRDefault="00BE41CB" w:rsidP="00075752">
      <w:pPr>
        <w:numPr>
          <w:ilvl w:val="0"/>
          <w:numId w:val="5"/>
        </w:numPr>
        <w:pBdr>
          <w:top w:val="nil"/>
          <w:left w:val="nil"/>
          <w:bottom w:val="nil"/>
          <w:right w:val="nil"/>
          <w:between w:val="nil"/>
        </w:pBdr>
        <w:tabs>
          <w:tab w:val="left" w:pos="360"/>
          <w:tab w:val="left" w:pos="810"/>
          <w:tab w:val="left" w:pos="1341"/>
        </w:tabs>
        <w:spacing w:after="120" w:line="360" w:lineRule="auto"/>
        <w:jc w:val="both"/>
        <w:rPr>
          <w:rFonts w:ascii="Arial" w:hAnsi="Arial" w:cs="Arial"/>
          <w:color w:val="010000"/>
          <w:sz w:val="20"/>
          <w:szCs w:val="20"/>
        </w:rPr>
      </w:pPr>
      <w:r w:rsidRPr="00075752">
        <w:rPr>
          <w:rFonts w:ascii="Arial" w:hAnsi="Arial" w:cs="Arial"/>
          <w:color w:val="010000"/>
          <w:sz w:val="20"/>
          <w:szCs w:val="20"/>
        </w:rPr>
        <w:t>FAC Auditing Co., Ltd</w:t>
      </w:r>
    </w:p>
    <w:p w14:paraId="0BE5BADE" w14:textId="77777777" w:rsidR="00B63AB9" w:rsidRPr="00075752" w:rsidRDefault="00BE41CB" w:rsidP="00075752">
      <w:pPr>
        <w:numPr>
          <w:ilvl w:val="0"/>
          <w:numId w:val="5"/>
        </w:numPr>
        <w:pBdr>
          <w:top w:val="nil"/>
          <w:left w:val="nil"/>
          <w:bottom w:val="nil"/>
          <w:right w:val="nil"/>
          <w:between w:val="nil"/>
        </w:pBdr>
        <w:tabs>
          <w:tab w:val="left" w:pos="360"/>
          <w:tab w:val="left" w:pos="810"/>
          <w:tab w:val="left" w:pos="1341"/>
        </w:tabs>
        <w:spacing w:after="120" w:line="360" w:lineRule="auto"/>
        <w:jc w:val="both"/>
        <w:rPr>
          <w:rFonts w:ascii="Arial" w:hAnsi="Arial" w:cs="Arial"/>
          <w:color w:val="010000"/>
          <w:sz w:val="20"/>
          <w:szCs w:val="20"/>
        </w:rPr>
      </w:pPr>
      <w:r w:rsidRPr="00075752">
        <w:rPr>
          <w:rFonts w:ascii="Arial" w:hAnsi="Arial" w:cs="Arial"/>
          <w:color w:val="010000"/>
          <w:sz w:val="20"/>
          <w:szCs w:val="20"/>
        </w:rPr>
        <w:t>VACO Auditing Company Limited;</w:t>
      </w:r>
    </w:p>
    <w:p w14:paraId="073E94D8"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Authorize the Board of Directors to select a specific audit company according to the above list. In case the list of audit companies authorized to audit financial statements of listed companies published by the State Securities Commission does not contain the above companies or the above companies are not suitable, the Board of Directors is authorized to choose an Audit Company other than the above list.</w:t>
      </w:r>
    </w:p>
    <w:p w14:paraId="06E0CCCF" w14:textId="77777777" w:rsidR="00B63AB9" w:rsidRPr="00075752" w:rsidRDefault="00BE41CB" w:rsidP="00075752">
      <w:pPr>
        <w:keepNext/>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Article 7: Approve the Proposal on the remuneration payment for the Board of Directors and the Supervisory Board in 2024. In details:</w:t>
      </w:r>
    </w:p>
    <w:p w14:paraId="791DC65C" w14:textId="77777777" w:rsidR="00B63AB9" w:rsidRPr="00075752" w:rsidRDefault="00BE41CB" w:rsidP="00075752">
      <w:pPr>
        <w:numPr>
          <w:ilvl w:val="0"/>
          <w:numId w:val="5"/>
        </w:numPr>
        <w:pBdr>
          <w:top w:val="nil"/>
          <w:left w:val="nil"/>
          <w:bottom w:val="nil"/>
          <w:right w:val="nil"/>
          <w:between w:val="nil"/>
        </w:pBdr>
        <w:tabs>
          <w:tab w:val="left" w:pos="360"/>
          <w:tab w:val="left" w:pos="810"/>
          <w:tab w:val="left" w:pos="1341"/>
        </w:tabs>
        <w:spacing w:after="120" w:line="360" w:lineRule="auto"/>
        <w:jc w:val="both"/>
        <w:rPr>
          <w:rFonts w:ascii="Arial" w:hAnsi="Arial" w:cs="Arial"/>
          <w:color w:val="010000"/>
          <w:sz w:val="20"/>
          <w:szCs w:val="20"/>
        </w:rPr>
      </w:pPr>
      <w:r w:rsidRPr="00075752">
        <w:rPr>
          <w:rFonts w:ascii="Arial" w:hAnsi="Arial" w:cs="Arial"/>
          <w:color w:val="010000"/>
          <w:sz w:val="20"/>
          <w:szCs w:val="20"/>
        </w:rPr>
        <w:t>Remuneration of the Board of Directors: VND 396,000,000/year</w:t>
      </w:r>
    </w:p>
    <w:p w14:paraId="064FBB39" w14:textId="77777777" w:rsidR="00B63AB9" w:rsidRPr="00075752" w:rsidRDefault="00BE41CB" w:rsidP="00075752">
      <w:pPr>
        <w:numPr>
          <w:ilvl w:val="0"/>
          <w:numId w:val="5"/>
        </w:numPr>
        <w:pBdr>
          <w:top w:val="nil"/>
          <w:left w:val="nil"/>
          <w:bottom w:val="nil"/>
          <w:right w:val="nil"/>
          <w:between w:val="nil"/>
        </w:pBdr>
        <w:tabs>
          <w:tab w:val="left" w:pos="360"/>
          <w:tab w:val="left" w:pos="810"/>
          <w:tab w:val="left" w:pos="1341"/>
        </w:tabs>
        <w:spacing w:after="120" w:line="360" w:lineRule="auto"/>
        <w:jc w:val="both"/>
        <w:rPr>
          <w:rFonts w:ascii="Arial" w:hAnsi="Arial" w:cs="Arial"/>
          <w:color w:val="010000"/>
          <w:sz w:val="20"/>
          <w:szCs w:val="20"/>
        </w:rPr>
      </w:pPr>
      <w:r w:rsidRPr="00075752">
        <w:rPr>
          <w:rFonts w:ascii="Arial" w:hAnsi="Arial" w:cs="Arial"/>
          <w:color w:val="010000"/>
          <w:sz w:val="20"/>
          <w:szCs w:val="20"/>
        </w:rPr>
        <w:t>Remuneration of the Supervisory Board: VND 42,000,000/year</w:t>
      </w:r>
    </w:p>
    <w:p w14:paraId="3BCE40AA"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The remuneration paid to members of the Board of Directors and the Supervisory Board will be divided according to the agreement of the members and paid by the company after the end of the fiscal year 2024.</w:t>
      </w:r>
    </w:p>
    <w:p w14:paraId="7293941E" w14:textId="77777777" w:rsidR="00B63AB9" w:rsidRPr="00075752" w:rsidRDefault="00BE41CB" w:rsidP="00075752">
      <w:pPr>
        <w:keepNext/>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Article 8: Election results of the members of the Board of Directors and the Supervisory Board for the term of 2024-2029</w:t>
      </w:r>
    </w:p>
    <w:p w14:paraId="22A6455A" w14:textId="77777777" w:rsidR="00B63AB9" w:rsidRPr="00075752" w:rsidRDefault="00BE41CB" w:rsidP="00075752">
      <w:pPr>
        <w:keepNext/>
        <w:numPr>
          <w:ilvl w:val="0"/>
          <w:numId w:val="4"/>
        </w:numPr>
        <w:pBdr>
          <w:top w:val="nil"/>
          <w:left w:val="nil"/>
          <w:bottom w:val="nil"/>
          <w:right w:val="nil"/>
          <w:between w:val="nil"/>
        </w:pBdr>
        <w:tabs>
          <w:tab w:val="left" w:pos="360"/>
          <w:tab w:val="left" w:pos="810"/>
        </w:tabs>
        <w:spacing w:after="120" w:line="360" w:lineRule="auto"/>
        <w:ind w:left="0" w:firstLine="0"/>
        <w:jc w:val="both"/>
        <w:rPr>
          <w:rFonts w:ascii="Arial" w:eastAsia="Arial" w:hAnsi="Arial" w:cs="Arial"/>
          <w:color w:val="010000"/>
          <w:sz w:val="20"/>
          <w:szCs w:val="20"/>
        </w:rPr>
      </w:pPr>
      <w:r w:rsidRPr="00075752">
        <w:rPr>
          <w:rFonts w:ascii="Arial" w:hAnsi="Arial" w:cs="Arial"/>
          <w:color w:val="010000"/>
          <w:sz w:val="20"/>
          <w:szCs w:val="20"/>
        </w:rPr>
        <w:t>The Board of Directors</w:t>
      </w:r>
    </w:p>
    <w:p w14:paraId="5FBF4A50" w14:textId="77777777" w:rsidR="00B63AB9" w:rsidRPr="00075752" w:rsidRDefault="00BE41CB" w:rsidP="00075752">
      <w:pPr>
        <w:numPr>
          <w:ilvl w:val="0"/>
          <w:numId w:val="5"/>
        </w:numPr>
        <w:pBdr>
          <w:top w:val="nil"/>
          <w:left w:val="nil"/>
          <w:bottom w:val="nil"/>
          <w:right w:val="nil"/>
          <w:between w:val="nil"/>
        </w:pBdr>
        <w:tabs>
          <w:tab w:val="left" w:pos="360"/>
          <w:tab w:val="left" w:pos="810"/>
          <w:tab w:val="left" w:pos="1338"/>
        </w:tabs>
        <w:spacing w:after="120" w:line="360" w:lineRule="auto"/>
        <w:jc w:val="both"/>
        <w:rPr>
          <w:rFonts w:ascii="Arial" w:hAnsi="Arial" w:cs="Arial"/>
          <w:color w:val="010000"/>
          <w:sz w:val="20"/>
          <w:szCs w:val="20"/>
        </w:rPr>
      </w:pPr>
      <w:r w:rsidRPr="00075752">
        <w:rPr>
          <w:rFonts w:ascii="Arial" w:hAnsi="Arial" w:cs="Arial"/>
          <w:color w:val="010000"/>
          <w:sz w:val="20"/>
          <w:szCs w:val="20"/>
        </w:rPr>
        <w:t xml:space="preserve">Mr. Tran </w:t>
      </w:r>
      <w:proofErr w:type="spellStart"/>
      <w:r w:rsidRPr="00075752">
        <w:rPr>
          <w:rFonts w:ascii="Arial" w:hAnsi="Arial" w:cs="Arial"/>
          <w:color w:val="010000"/>
          <w:sz w:val="20"/>
          <w:szCs w:val="20"/>
        </w:rPr>
        <w:t>Thanh</w:t>
      </w:r>
      <w:proofErr w:type="spellEnd"/>
      <w:r w:rsidRPr="00075752">
        <w:rPr>
          <w:rFonts w:ascii="Arial" w:hAnsi="Arial" w:cs="Arial"/>
          <w:color w:val="010000"/>
          <w:sz w:val="20"/>
          <w:szCs w:val="20"/>
        </w:rPr>
        <w:t xml:space="preserve"> </w:t>
      </w:r>
      <w:proofErr w:type="spellStart"/>
      <w:r w:rsidRPr="00075752">
        <w:rPr>
          <w:rFonts w:ascii="Arial" w:hAnsi="Arial" w:cs="Arial"/>
          <w:color w:val="010000"/>
          <w:sz w:val="20"/>
          <w:szCs w:val="20"/>
        </w:rPr>
        <w:t>Hai</w:t>
      </w:r>
      <w:proofErr w:type="spellEnd"/>
    </w:p>
    <w:p w14:paraId="4892B6E1" w14:textId="77777777" w:rsidR="00B63AB9" w:rsidRPr="00075752" w:rsidRDefault="00BE41CB" w:rsidP="00075752">
      <w:pPr>
        <w:numPr>
          <w:ilvl w:val="0"/>
          <w:numId w:val="5"/>
        </w:numPr>
        <w:pBdr>
          <w:top w:val="nil"/>
          <w:left w:val="nil"/>
          <w:bottom w:val="nil"/>
          <w:right w:val="nil"/>
          <w:between w:val="nil"/>
        </w:pBdr>
        <w:tabs>
          <w:tab w:val="left" w:pos="360"/>
          <w:tab w:val="left" w:pos="810"/>
          <w:tab w:val="left" w:pos="1338"/>
        </w:tabs>
        <w:spacing w:after="120" w:line="360" w:lineRule="auto"/>
        <w:jc w:val="both"/>
        <w:rPr>
          <w:rFonts w:ascii="Arial" w:hAnsi="Arial" w:cs="Arial"/>
          <w:color w:val="010000"/>
          <w:sz w:val="20"/>
          <w:szCs w:val="20"/>
        </w:rPr>
      </w:pPr>
      <w:r w:rsidRPr="00075752">
        <w:rPr>
          <w:rFonts w:ascii="Arial" w:hAnsi="Arial" w:cs="Arial"/>
          <w:color w:val="010000"/>
          <w:sz w:val="20"/>
          <w:szCs w:val="20"/>
        </w:rPr>
        <w:t xml:space="preserve">Mr. Le Ngoc </w:t>
      </w:r>
      <w:proofErr w:type="spellStart"/>
      <w:r w:rsidRPr="00075752">
        <w:rPr>
          <w:rFonts w:ascii="Arial" w:hAnsi="Arial" w:cs="Arial"/>
          <w:color w:val="010000"/>
          <w:sz w:val="20"/>
          <w:szCs w:val="20"/>
        </w:rPr>
        <w:t>Tu</w:t>
      </w:r>
      <w:proofErr w:type="spellEnd"/>
    </w:p>
    <w:p w14:paraId="3F7EAB15" w14:textId="77777777" w:rsidR="00B63AB9" w:rsidRPr="00075752" w:rsidRDefault="00BE41CB" w:rsidP="00075752">
      <w:pPr>
        <w:numPr>
          <w:ilvl w:val="0"/>
          <w:numId w:val="5"/>
        </w:numPr>
        <w:pBdr>
          <w:top w:val="nil"/>
          <w:left w:val="nil"/>
          <w:bottom w:val="nil"/>
          <w:right w:val="nil"/>
          <w:between w:val="nil"/>
        </w:pBdr>
        <w:tabs>
          <w:tab w:val="left" w:pos="360"/>
          <w:tab w:val="left" w:pos="810"/>
          <w:tab w:val="left" w:pos="1341"/>
        </w:tabs>
        <w:spacing w:after="120" w:line="360" w:lineRule="auto"/>
        <w:jc w:val="both"/>
        <w:rPr>
          <w:rFonts w:ascii="Arial" w:hAnsi="Arial" w:cs="Arial"/>
          <w:color w:val="010000"/>
          <w:sz w:val="20"/>
          <w:szCs w:val="20"/>
        </w:rPr>
      </w:pPr>
      <w:r w:rsidRPr="00075752">
        <w:rPr>
          <w:rFonts w:ascii="Arial" w:hAnsi="Arial" w:cs="Arial"/>
          <w:color w:val="010000"/>
          <w:sz w:val="20"/>
          <w:szCs w:val="20"/>
        </w:rPr>
        <w:t>Mr. Pham Ngoc Son</w:t>
      </w:r>
    </w:p>
    <w:p w14:paraId="79761A32" w14:textId="77777777" w:rsidR="00B63AB9" w:rsidRPr="00075752" w:rsidRDefault="00BE41CB" w:rsidP="00075752">
      <w:pPr>
        <w:numPr>
          <w:ilvl w:val="0"/>
          <w:numId w:val="5"/>
        </w:numPr>
        <w:pBdr>
          <w:top w:val="nil"/>
          <w:left w:val="nil"/>
          <w:bottom w:val="nil"/>
          <w:right w:val="nil"/>
          <w:between w:val="nil"/>
        </w:pBdr>
        <w:tabs>
          <w:tab w:val="left" w:pos="360"/>
          <w:tab w:val="left" w:pos="810"/>
          <w:tab w:val="left" w:pos="1341"/>
        </w:tabs>
        <w:spacing w:after="120" w:line="360" w:lineRule="auto"/>
        <w:jc w:val="both"/>
        <w:rPr>
          <w:rFonts w:ascii="Arial" w:hAnsi="Arial" w:cs="Arial"/>
          <w:color w:val="010000"/>
          <w:sz w:val="20"/>
          <w:szCs w:val="20"/>
        </w:rPr>
      </w:pPr>
      <w:r w:rsidRPr="00075752">
        <w:rPr>
          <w:rFonts w:ascii="Arial" w:hAnsi="Arial" w:cs="Arial"/>
          <w:color w:val="010000"/>
          <w:sz w:val="20"/>
          <w:szCs w:val="20"/>
        </w:rPr>
        <w:lastRenderedPageBreak/>
        <w:t xml:space="preserve">Mr. Pham </w:t>
      </w:r>
      <w:proofErr w:type="spellStart"/>
      <w:r w:rsidRPr="00075752">
        <w:rPr>
          <w:rFonts w:ascii="Arial" w:hAnsi="Arial" w:cs="Arial"/>
          <w:color w:val="010000"/>
          <w:sz w:val="20"/>
          <w:szCs w:val="20"/>
        </w:rPr>
        <w:t>Duy</w:t>
      </w:r>
      <w:proofErr w:type="spellEnd"/>
      <w:r w:rsidRPr="00075752">
        <w:rPr>
          <w:rFonts w:ascii="Arial" w:hAnsi="Arial" w:cs="Arial"/>
          <w:color w:val="010000"/>
          <w:sz w:val="20"/>
          <w:szCs w:val="20"/>
        </w:rPr>
        <w:t xml:space="preserve"> Hung</w:t>
      </w:r>
    </w:p>
    <w:p w14:paraId="42D7DAA3" w14:textId="77777777" w:rsidR="00B63AB9" w:rsidRPr="00075752" w:rsidRDefault="00BE41CB" w:rsidP="00075752">
      <w:pPr>
        <w:numPr>
          <w:ilvl w:val="0"/>
          <w:numId w:val="5"/>
        </w:numPr>
        <w:pBdr>
          <w:top w:val="nil"/>
          <w:left w:val="nil"/>
          <w:bottom w:val="nil"/>
          <w:right w:val="nil"/>
          <w:between w:val="nil"/>
        </w:pBdr>
        <w:tabs>
          <w:tab w:val="left" w:pos="360"/>
          <w:tab w:val="left" w:pos="810"/>
          <w:tab w:val="left" w:pos="1341"/>
        </w:tabs>
        <w:spacing w:after="120" w:line="360" w:lineRule="auto"/>
        <w:jc w:val="both"/>
        <w:rPr>
          <w:rFonts w:ascii="Arial" w:hAnsi="Arial" w:cs="Arial"/>
          <w:color w:val="010000"/>
          <w:sz w:val="20"/>
          <w:szCs w:val="20"/>
        </w:rPr>
      </w:pPr>
      <w:r w:rsidRPr="00075752">
        <w:rPr>
          <w:rFonts w:ascii="Arial" w:hAnsi="Arial" w:cs="Arial"/>
          <w:color w:val="010000"/>
          <w:sz w:val="20"/>
          <w:szCs w:val="20"/>
        </w:rPr>
        <w:t xml:space="preserve">Mr. Nguyen </w:t>
      </w:r>
      <w:proofErr w:type="spellStart"/>
      <w:r w:rsidRPr="00075752">
        <w:rPr>
          <w:rFonts w:ascii="Arial" w:hAnsi="Arial" w:cs="Arial"/>
          <w:color w:val="010000"/>
          <w:sz w:val="20"/>
          <w:szCs w:val="20"/>
        </w:rPr>
        <w:t>Anh</w:t>
      </w:r>
      <w:proofErr w:type="spellEnd"/>
      <w:r w:rsidRPr="00075752">
        <w:rPr>
          <w:rFonts w:ascii="Arial" w:hAnsi="Arial" w:cs="Arial"/>
          <w:color w:val="010000"/>
          <w:sz w:val="20"/>
          <w:szCs w:val="20"/>
        </w:rPr>
        <w:t xml:space="preserve"> Tuan</w:t>
      </w:r>
    </w:p>
    <w:p w14:paraId="6DEB7D66" w14:textId="77777777" w:rsidR="00B63AB9" w:rsidRPr="00075752" w:rsidRDefault="00BE41CB" w:rsidP="00075752">
      <w:pPr>
        <w:numPr>
          <w:ilvl w:val="0"/>
          <w:numId w:val="6"/>
        </w:numPr>
        <w:pBdr>
          <w:top w:val="nil"/>
          <w:left w:val="nil"/>
          <w:bottom w:val="nil"/>
          <w:right w:val="nil"/>
          <w:between w:val="nil"/>
        </w:pBdr>
        <w:tabs>
          <w:tab w:val="left" w:pos="360"/>
          <w:tab w:val="left" w:pos="810"/>
        </w:tabs>
        <w:spacing w:after="120" w:line="360" w:lineRule="auto"/>
        <w:jc w:val="both"/>
        <w:rPr>
          <w:rFonts w:ascii="Arial" w:hAnsi="Arial" w:cs="Arial"/>
          <w:color w:val="010000"/>
          <w:sz w:val="20"/>
          <w:szCs w:val="20"/>
        </w:rPr>
      </w:pPr>
      <w:r w:rsidRPr="00075752">
        <w:rPr>
          <w:rFonts w:ascii="Arial" w:hAnsi="Arial" w:cs="Arial"/>
          <w:color w:val="010000"/>
          <w:sz w:val="20"/>
          <w:szCs w:val="20"/>
        </w:rPr>
        <w:t>The Supervisory Board:</w:t>
      </w:r>
    </w:p>
    <w:p w14:paraId="7E369841" w14:textId="77777777" w:rsidR="00B63AB9" w:rsidRPr="00075752" w:rsidRDefault="00BE41CB" w:rsidP="00075752">
      <w:pPr>
        <w:numPr>
          <w:ilvl w:val="0"/>
          <w:numId w:val="7"/>
        </w:numPr>
        <w:pBdr>
          <w:top w:val="nil"/>
          <w:left w:val="nil"/>
          <w:bottom w:val="nil"/>
          <w:right w:val="nil"/>
          <w:between w:val="nil"/>
        </w:pBdr>
        <w:tabs>
          <w:tab w:val="left" w:pos="360"/>
          <w:tab w:val="left" w:pos="810"/>
          <w:tab w:val="left" w:pos="1304"/>
        </w:tabs>
        <w:spacing w:after="120" w:line="360" w:lineRule="auto"/>
        <w:jc w:val="both"/>
        <w:rPr>
          <w:rFonts w:ascii="Arial" w:hAnsi="Arial" w:cs="Arial"/>
          <w:color w:val="010000"/>
          <w:sz w:val="20"/>
          <w:szCs w:val="20"/>
        </w:rPr>
      </w:pPr>
      <w:r w:rsidRPr="00075752">
        <w:rPr>
          <w:rFonts w:ascii="Arial" w:hAnsi="Arial" w:cs="Arial"/>
          <w:color w:val="010000"/>
          <w:sz w:val="20"/>
          <w:szCs w:val="20"/>
        </w:rPr>
        <w:t xml:space="preserve">Ms. Nguyen </w:t>
      </w:r>
      <w:proofErr w:type="spellStart"/>
      <w:r w:rsidRPr="00075752">
        <w:rPr>
          <w:rFonts w:ascii="Arial" w:hAnsi="Arial" w:cs="Arial"/>
          <w:color w:val="010000"/>
          <w:sz w:val="20"/>
          <w:szCs w:val="20"/>
        </w:rPr>
        <w:t>Khanh</w:t>
      </w:r>
      <w:proofErr w:type="spellEnd"/>
      <w:r w:rsidRPr="00075752">
        <w:rPr>
          <w:rFonts w:ascii="Arial" w:hAnsi="Arial" w:cs="Arial"/>
          <w:color w:val="010000"/>
          <w:sz w:val="20"/>
          <w:szCs w:val="20"/>
        </w:rPr>
        <w:t xml:space="preserve"> Ly</w:t>
      </w:r>
    </w:p>
    <w:p w14:paraId="0F7BEC87" w14:textId="77777777" w:rsidR="00B63AB9" w:rsidRPr="00075752" w:rsidRDefault="00BE41CB" w:rsidP="00075752">
      <w:pPr>
        <w:numPr>
          <w:ilvl w:val="0"/>
          <w:numId w:val="7"/>
        </w:numPr>
        <w:pBdr>
          <w:top w:val="nil"/>
          <w:left w:val="nil"/>
          <w:bottom w:val="nil"/>
          <w:right w:val="nil"/>
          <w:between w:val="nil"/>
        </w:pBdr>
        <w:tabs>
          <w:tab w:val="left" w:pos="360"/>
          <w:tab w:val="left" w:pos="810"/>
          <w:tab w:val="left" w:pos="1304"/>
        </w:tabs>
        <w:spacing w:after="120" w:line="360" w:lineRule="auto"/>
        <w:jc w:val="both"/>
        <w:rPr>
          <w:rFonts w:ascii="Arial" w:hAnsi="Arial" w:cs="Arial"/>
          <w:color w:val="010000"/>
          <w:sz w:val="20"/>
          <w:szCs w:val="20"/>
        </w:rPr>
      </w:pPr>
      <w:r w:rsidRPr="00075752">
        <w:rPr>
          <w:rFonts w:ascii="Arial" w:hAnsi="Arial" w:cs="Arial"/>
          <w:color w:val="010000"/>
          <w:sz w:val="20"/>
          <w:szCs w:val="20"/>
        </w:rPr>
        <w:t xml:space="preserve">Mr. Tran </w:t>
      </w:r>
      <w:proofErr w:type="spellStart"/>
      <w:r w:rsidRPr="00075752">
        <w:rPr>
          <w:rFonts w:ascii="Arial" w:hAnsi="Arial" w:cs="Arial"/>
          <w:color w:val="010000"/>
          <w:sz w:val="20"/>
          <w:szCs w:val="20"/>
        </w:rPr>
        <w:t>Quoc</w:t>
      </w:r>
      <w:proofErr w:type="spellEnd"/>
      <w:r w:rsidRPr="00075752">
        <w:rPr>
          <w:rFonts w:ascii="Arial" w:hAnsi="Arial" w:cs="Arial"/>
          <w:color w:val="010000"/>
          <w:sz w:val="20"/>
          <w:szCs w:val="20"/>
        </w:rPr>
        <w:t xml:space="preserve"> Hung</w:t>
      </w:r>
    </w:p>
    <w:p w14:paraId="202DB4B6" w14:textId="77777777" w:rsidR="00B63AB9" w:rsidRPr="00075752" w:rsidRDefault="00BE41CB" w:rsidP="00075752">
      <w:pPr>
        <w:numPr>
          <w:ilvl w:val="0"/>
          <w:numId w:val="7"/>
        </w:numPr>
        <w:pBdr>
          <w:top w:val="nil"/>
          <w:left w:val="nil"/>
          <w:bottom w:val="nil"/>
          <w:right w:val="nil"/>
          <w:between w:val="nil"/>
        </w:pBdr>
        <w:tabs>
          <w:tab w:val="left" w:pos="360"/>
          <w:tab w:val="left" w:pos="810"/>
          <w:tab w:val="left" w:pos="1304"/>
        </w:tabs>
        <w:spacing w:after="120" w:line="360" w:lineRule="auto"/>
        <w:jc w:val="both"/>
        <w:rPr>
          <w:rFonts w:ascii="Arial" w:hAnsi="Arial" w:cs="Arial"/>
          <w:color w:val="010000"/>
          <w:sz w:val="20"/>
          <w:szCs w:val="20"/>
        </w:rPr>
      </w:pPr>
      <w:r w:rsidRPr="00075752">
        <w:rPr>
          <w:rFonts w:ascii="Arial" w:hAnsi="Arial" w:cs="Arial"/>
          <w:color w:val="010000"/>
          <w:sz w:val="20"/>
          <w:szCs w:val="20"/>
        </w:rPr>
        <w:t xml:space="preserve">Ms. Trinh Thi </w:t>
      </w:r>
      <w:proofErr w:type="spellStart"/>
      <w:r w:rsidRPr="00075752">
        <w:rPr>
          <w:rFonts w:ascii="Arial" w:hAnsi="Arial" w:cs="Arial"/>
          <w:color w:val="010000"/>
          <w:sz w:val="20"/>
          <w:szCs w:val="20"/>
        </w:rPr>
        <w:t>Thuy</w:t>
      </w:r>
      <w:proofErr w:type="spellEnd"/>
      <w:r w:rsidRPr="00075752">
        <w:rPr>
          <w:rFonts w:ascii="Arial" w:hAnsi="Arial" w:cs="Arial"/>
          <w:color w:val="010000"/>
          <w:sz w:val="20"/>
          <w:szCs w:val="20"/>
        </w:rPr>
        <w:t xml:space="preserve"> </w:t>
      </w:r>
      <w:proofErr w:type="spellStart"/>
      <w:r w:rsidRPr="00075752">
        <w:rPr>
          <w:rFonts w:ascii="Arial" w:hAnsi="Arial" w:cs="Arial"/>
          <w:color w:val="010000"/>
          <w:sz w:val="20"/>
          <w:szCs w:val="20"/>
        </w:rPr>
        <w:t>Linh</w:t>
      </w:r>
      <w:proofErr w:type="spellEnd"/>
    </w:p>
    <w:p w14:paraId="147A7067" w14:textId="7777777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Article 9: Terms of enforcement</w:t>
      </w:r>
    </w:p>
    <w:p w14:paraId="3836E16E" w14:textId="197CB137" w:rsidR="00B63AB9" w:rsidRPr="00075752" w:rsidRDefault="00BE41CB" w:rsidP="00075752">
      <w:p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075752">
        <w:rPr>
          <w:rFonts w:ascii="Arial" w:hAnsi="Arial" w:cs="Arial"/>
          <w:color w:val="010000"/>
          <w:sz w:val="20"/>
          <w:szCs w:val="20"/>
        </w:rPr>
        <w:t xml:space="preserve">This General Mandate was approved by the Annual General Meeting of Shareholders 2024 and took effect from the end of the General Meeting. The Board of Directors, the Supervisory Board, the Board of Management and shareholders are responsible for implementing this General </w:t>
      </w:r>
      <w:bookmarkStart w:id="0" w:name="_GoBack"/>
      <w:bookmarkEnd w:id="0"/>
      <w:r w:rsidRPr="00075752">
        <w:rPr>
          <w:rFonts w:ascii="Arial" w:hAnsi="Arial" w:cs="Arial"/>
          <w:color w:val="010000"/>
          <w:sz w:val="20"/>
          <w:szCs w:val="20"/>
        </w:rPr>
        <w:t>Mandate.</w:t>
      </w:r>
    </w:p>
    <w:sectPr w:rsidR="00B63AB9" w:rsidRPr="0007575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3593"/>
    <w:multiLevelType w:val="multilevel"/>
    <w:tmpl w:val="0EB47B42"/>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592A95"/>
    <w:multiLevelType w:val="multilevel"/>
    <w:tmpl w:val="9B78D8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61371E"/>
    <w:multiLevelType w:val="multilevel"/>
    <w:tmpl w:val="5D04E0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B3C3435"/>
    <w:multiLevelType w:val="multilevel"/>
    <w:tmpl w:val="398AB6DE"/>
    <w:lvl w:ilvl="0">
      <w:start w:val="1"/>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D603C5B"/>
    <w:multiLevelType w:val="multilevel"/>
    <w:tmpl w:val="5B066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21368B"/>
    <w:multiLevelType w:val="multilevel"/>
    <w:tmpl w:val="6AFA78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27321DA"/>
    <w:multiLevelType w:val="multilevel"/>
    <w:tmpl w:val="BB6CA9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F4A2E78"/>
    <w:multiLevelType w:val="multilevel"/>
    <w:tmpl w:val="F53EFB6E"/>
    <w:lvl w:ilvl="0">
      <w:start w:val="2"/>
      <w:numFmt w:val="decimal"/>
      <w:lvlText w:val="%1."/>
      <w:lvlJc w:val="left"/>
      <w:pPr>
        <w:ind w:left="0" w:firstLine="0"/>
      </w:pPr>
      <w:rPr>
        <w:rFonts w:ascii="Arial" w:eastAsia="Arial" w:hAnsi="Arial" w:cs="Arial"/>
        <w:b w:val="0"/>
        <w:i w:val="0"/>
        <w:sz w:val="20"/>
        <w:szCs w:val="20"/>
        <w:u w:val="none"/>
      </w:rPr>
    </w:lvl>
    <w:lvl w:ilvl="1">
      <w:start w:val="2"/>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8724553"/>
    <w:multiLevelType w:val="multilevel"/>
    <w:tmpl w:val="6B7E5B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D3E40C7"/>
    <w:multiLevelType w:val="multilevel"/>
    <w:tmpl w:val="C810BF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0D31BE7"/>
    <w:multiLevelType w:val="multilevel"/>
    <w:tmpl w:val="2472B6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54818EC"/>
    <w:multiLevelType w:val="multilevel"/>
    <w:tmpl w:val="8E4EC9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10"/>
  </w:num>
  <w:num w:numId="3">
    <w:abstractNumId w:val="9"/>
  </w:num>
  <w:num w:numId="4">
    <w:abstractNumId w:val="4"/>
  </w:num>
  <w:num w:numId="5">
    <w:abstractNumId w:val="2"/>
  </w:num>
  <w:num w:numId="6">
    <w:abstractNumId w:val="0"/>
  </w:num>
  <w:num w:numId="7">
    <w:abstractNumId w:val="1"/>
  </w:num>
  <w:num w:numId="8">
    <w:abstractNumId w:val="8"/>
  </w:num>
  <w:num w:numId="9">
    <w:abstractNumId w:val="5"/>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B9"/>
    <w:rsid w:val="00075752"/>
    <w:rsid w:val="002A4F88"/>
    <w:rsid w:val="005F5FF9"/>
    <w:rsid w:val="00B63AB9"/>
    <w:rsid w:val="00BE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7276"/>
  <w15:docId w15:val="{331F6761-1DB3-4A5A-93EA-431D2CD1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rPr>
  </w:style>
  <w:style w:type="character" w:customStyle="1" w:styleId="Bodytext4">
    <w:name w:val="Body text (4)_"/>
    <w:basedOn w:val="DefaultParagraphFont"/>
    <w:link w:val="Bodytext40"/>
    <w:rPr>
      <w:rFonts w:ascii="Arial" w:eastAsia="Arial" w:hAnsi="Arial" w:cs="Arial"/>
      <w:b w:val="0"/>
      <w:bCs w:val="0"/>
      <w:i w:val="0"/>
      <w:iCs w:val="0"/>
      <w:smallCaps/>
      <w:strike w:val="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46"/>
      <w:szCs w:val="46"/>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6">
    <w:name w:val="Body text (6)_"/>
    <w:basedOn w:val="DefaultParagraphFont"/>
    <w:link w:val="Bodytext60"/>
    <w:rPr>
      <w:rFonts w:ascii="Arial Narrow" w:eastAsia="Arial Narrow" w:hAnsi="Arial Narrow" w:cs="Arial Narrow"/>
      <w:b/>
      <w:bCs/>
      <w:i w:val="0"/>
      <w:iCs w:val="0"/>
      <w:smallCaps w:val="0"/>
      <w:strike w:val="0"/>
      <w:color w:val="C34A40"/>
      <w:w w:val="10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C34A40"/>
      <w:sz w:val="28"/>
      <w:szCs w:val="2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pacing w:line="259"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19"/>
      <w:szCs w:val="19"/>
    </w:rPr>
  </w:style>
  <w:style w:type="paragraph" w:customStyle="1" w:styleId="Bodytext40">
    <w:name w:val="Body text (4)"/>
    <w:basedOn w:val="Normal"/>
    <w:link w:val="Bodytext4"/>
    <w:pPr>
      <w:spacing w:line="185" w:lineRule="auto"/>
    </w:pPr>
    <w:rPr>
      <w:rFonts w:ascii="Arial" w:eastAsia="Arial" w:hAnsi="Arial" w:cs="Arial"/>
      <w:smallCaps/>
    </w:rPr>
  </w:style>
  <w:style w:type="paragraph" w:customStyle="1" w:styleId="Bodytext50">
    <w:name w:val="Body text (5)"/>
    <w:basedOn w:val="Normal"/>
    <w:link w:val="Bodytext5"/>
    <w:rPr>
      <w:rFonts w:ascii="Arial" w:eastAsia="Arial" w:hAnsi="Arial" w:cs="Arial"/>
      <w:sz w:val="46"/>
      <w:szCs w:val="46"/>
    </w:rPr>
  </w:style>
  <w:style w:type="paragraph" w:customStyle="1" w:styleId="Heading31">
    <w:name w:val="Heading #3"/>
    <w:basedOn w:val="Normal"/>
    <w:link w:val="Heading30"/>
    <w:pPr>
      <w:spacing w:line="259" w:lineRule="auto"/>
      <w:outlineLvl w:val="2"/>
    </w:pPr>
    <w:rPr>
      <w:rFonts w:ascii="Times New Roman" w:eastAsia="Times New Roman" w:hAnsi="Times New Roman" w:cs="Times New Roman"/>
      <w:b/>
      <w:bCs/>
      <w:sz w:val="22"/>
      <w:szCs w:val="22"/>
    </w:rPr>
  </w:style>
  <w:style w:type="paragraph" w:customStyle="1" w:styleId="Heading21">
    <w:name w:val="Heading #2"/>
    <w:basedOn w:val="Normal"/>
    <w:link w:val="Heading20"/>
    <w:pPr>
      <w:ind w:left="2220"/>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259" w:lineRule="auto"/>
    </w:pPr>
    <w:rPr>
      <w:rFonts w:ascii="Times New Roman" w:eastAsia="Times New Roman" w:hAnsi="Times New Roman" w:cs="Times New Roman"/>
      <w:sz w:val="22"/>
      <w:szCs w:val="22"/>
    </w:rPr>
  </w:style>
  <w:style w:type="paragraph" w:customStyle="1" w:styleId="Bodytext60">
    <w:name w:val="Body text (6)"/>
    <w:basedOn w:val="Normal"/>
    <w:link w:val="Bodytext6"/>
    <w:pPr>
      <w:spacing w:line="276" w:lineRule="auto"/>
      <w:ind w:firstLine="160"/>
    </w:pPr>
    <w:rPr>
      <w:rFonts w:ascii="Arial Narrow" w:eastAsia="Arial Narrow" w:hAnsi="Arial Narrow" w:cs="Arial Narrow"/>
      <w:b/>
      <w:bCs/>
      <w:color w:val="C34A40"/>
      <w:sz w:val="20"/>
      <w:szCs w:val="20"/>
    </w:rPr>
  </w:style>
  <w:style w:type="paragraph" w:customStyle="1" w:styleId="Bodytext30">
    <w:name w:val="Body text (3)"/>
    <w:basedOn w:val="Normal"/>
    <w:link w:val="Bodytext3"/>
    <w:rPr>
      <w:rFonts w:ascii="Times New Roman" w:eastAsia="Times New Roman" w:hAnsi="Times New Roman" w:cs="Times New Roman"/>
      <w:sz w:val="17"/>
      <w:szCs w:val="17"/>
    </w:rPr>
  </w:style>
  <w:style w:type="paragraph" w:customStyle="1" w:styleId="Heading11">
    <w:name w:val="Heading #1"/>
    <w:basedOn w:val="Normal"/>
    <w:link w:val="Heading10"/>
    <w:pPr>
      <w:outlineLvl w:val="0"/>
    </w:pPr>
    <w:rPr>
      <w:rFonts w:ascii="Arial" w:eastAsia="Arial" w:hAnsi="Arial" w:cs="Arial"/>
      <w:color w:val="C34A40"/>
      <w:sz w:val="28"/>
      <w:szCs w:val="28"/>
    </w:rPr>
  </w:style>
  <w:style w:type="paragraph" w:customStyle="1" w:styleId="Tableofcontents0">
    <w:name w:val="Table of contents"/>
    <w:basedOn w:val="Normal"/>
    <w:link w:val="Tableofcontents"/>
    <w:pPr>
      <w:spacing w:line="264" w:lineRule="auto"/>
      <w:ind w:left="190" w:firstLine="4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naAiwO3d+FqjrpAn8/q9O5CXA==">CgMxLjA4AHIhMW5mYXZZWmZXWEwxckhBcllvc2kwNVNld1ZjVElSY2J0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857</Words>
  <Characters>4853</Characters>
  <Application>Microsoft Office Word</Application>
  <DocSecurity>0</DocSecurity>
  <Lines>167</Lines>
  <Paragraphs>146</Paragraphs>
  <ScaleCrop>false</ScaleCrop>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2024-04-29T07:49:00Z</dcterms:created>
  <dcterms:modified xsi:type="dcterms:W3CDTF">2024-05-03T08:27:00Z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4d77ec9157cde1abca065b2330a43ed0a592cdbbdb4aadca6056703e5e5d93bc</vt:lpwstr>
  </property>
</Properties>
</file>