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4986"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CVT122008:</w:t>
      </w:r>
      <w:r>
        <w:rPr>
          <w:rFonts w:ascii="Arial" w:hAnsi="Arial"/>
          <w:b/>
          <w:color w:val="010000"/>
          <w:sz w:val="20"/>
        </w:rPr>
        <w:t xml:space="preserve"> Annual General Mandate 2024</w:t>
      </w:r>
    </w:p>
    <w:p w14:paraId="48AF4823"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23, 2024, CMC Joint Stoc</w:t>
      </w:r>
      <w:bookmarkStart w:id="0" w:name="_GoBack"/>
      <w:bookmarkEnd w:id="0"/>
      <w:r>
        <w:rPr>
          <w:rFonts w:ascii="Arial" w:hAnsi="Arial"/>
          <w:color w:val="010000"/>
          <w:sz w:val="20"/>
        </w:rPr>
        <w:t>k Company announced General Mandate No. 04/2024/NQ-DHDCD as follows:</w:t>
      </w:r>
    </w:p>
    <w:p w14:paraId="076F31DF"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activities of the Board of Directors and the Board of Management of CMC Joint Stock Company ("the Company") on activities in 2023 and orientations for 2024;</w:t>
      </w:r>
    </w:p>
    <w:p w14:paraId="4FD8F29B" w14:textId="77777777" w:rsidR="007E20BA" w:rsidRPr="00F72E7A" w:rsidRDefault="006E5BA1" w:rsidP="00B950A5">
      <w:p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Realized results in 2023:</w:t>
      </w:r>
    </w:p>
    <w:p w14:paraId="50DFFFCC"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5"/>
        <w:gridCol w:w="1766"/>
        <w:gridCol w:w="2505"/>
        <w:gridCol w:w="2211"/>
        <w:gridCol w:w="1760"/>
      </w:tblGrid>
      <w:tr w:rsidR="007E20BA" w:rsidRPr="00F72E7A" w14:paraId="75BB1D39" w14:textId="77777777" w:rsidTr="00F72E7A">
        <w:tc>
          <w:tcPr>
            <w:tcW w:w="430" w:type="pct"/>
            <w:shd w:val="clear" w:color="auto" w:fill="auto"/>
            <w:tcMar>
              <w:top w:w="0" w:type="dxa"/>
              <w:bottom w:w="0" w:type="dxa"/>
            </w:tcMar>
            <w:vAlign w:val="center"/>
          </w:tcPr>
          <w:p w14:paraId="3C6506A2"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979" w:type="pct"/>
            <w:shd w:val="clear" w:color="auto" w:fill="auto"/>
            <w:tcMar>
              <w:top w:w="0" w:type="dxa"/>
              <w:bottom w:w="0" w:type="dxa"/>
            </w:tcMar>
            <w:vAlign w:val="center"/>
          </w:tcPr>
          <w:p w14:paraId="0ABC404F"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389" w:type="pct"/>
            <w:shd w:val="clear" w:color="auto" w:fill="auto"/>
            <w:tcMar>
              <w:top w:w="0" w:type="dxa"/>
              <w:bottom w:w="0" w:type="dxa"/>
            </w:tcMar>
            <w:vAlign w:val="center"/>
          </w:tcPr>
          <w:p w14:paraId="72FBC6CD"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2022</w:t>
            </w:r>
          </w:p>
        </w:tc>
        <w:tc>
          <w:tcPr>
            <w:tcW w:w="1226" w:type="pct"/>
            <w:shd w:val="clear" w:color="auto" w:fill="auto"/>
            <w:tcMar>
              <w:top w:w="0" w:type="dxa"/>
              <w:bottom w:w="0" w:type="dxa"/>
            </w:tcMar>
            <w:vAlign w:val="center"/>
          </w:tcPr>
          <w:p w14:paraId="400697D7"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2023</w:t>
            </w:r>
          </w:p>
        </w:tc>
        <w:tc>
          <w:tcPr>
            <w:tcW w:w="976" w:type="pct"/>
            <w:shd w:val="clear" w:color="auto" w:fill="auto"/>
            <w:tcMar>
              <w:top w:w="0" w:type="dxa"/>
              <w:bottom w:w="0" w:type="dxa"/>
            </w:tcMar>
            <w:vAlign w:val="center"/>
          </w:tcPr>
          <w:p w14:paraId="57FBE633"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Increase/decrease (%)</w:t>
            </w:r>
          </w:p>
        </w:tc>
      </w:tr>
      <w:tr w:rsidR="007E20BA" w:rsidRPr="00F72E7A" w14:paraId="2DD7578C" w14:textId="77777777" w:rsidTr="00F72E7A">
        <w:tc>
          <w:tcPr>
            <w:tcW w:w="430" w:type="pct"/>
            <w:shd w:val="clear" w:color="auto" w:fill="auto"/>
            <w:tcMar>
              <w:top w:w="0" w:type="dxa"/>
              <w:bottom w:w="0" w:type="dxa"/>
            </w:tcMar>
            <w:vAlign w:val="center"/>
          </w:tcPr>
          <w:p w14:paraId="265D06B9"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979" w:type="pct"/>
            <w:shd w:val="clear" w:color="auto" w:fill="auto"/>
            <w:tcMar>
              <w:top w:w="0" w:type="dxa"/>
              <w:bottom w:w="0" w:type="dxa"/>
            </w:tcMar>
            <w:vAlign w:val="center"/>
          </w:tcPr>
          <w:p w14:paraId="59D7BA27"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assets</w:t>
            </w:r>
          </w:p>
        </w:tc>
        <w:tc>
          <w:tcPr>
            <w:tcW w:w="1389" w:type="pct"/>
            <w:shd w:val="clear" w:color="auto" w:fill="auto"/>
            <w:tcMar>
              <w:top w:w="0" w:type="dxa"/>
              <w:bottom w:w="0" w:type="dxa"/>
            </w:tcMar>
            <w:vAlign w:val="center"/>
          </w:tcPr>
          <w:p w14:paraId="440D46EE"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3,372.48</w:t>
            </w:r>
          </w:p>
        </w:tc>
        <w:tc>
          <w:tcPr>
            <w:tcW w:w="1226" w:type="pct"/>
            <w:shd w:val="clear" w:color="auto" w:fill="auto"/>
            <w:tcMar>
              <w:top w:w="0" w:type="dxa"/>
              <w:bottom w:w="0" w:type="dxa"/>
            </w:tcMar>
            <w:vAlign w:val="center"/>
          </w:tcPr>
          <w:p w14:paraId="4C66ED5B"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3,311.68</w:t>
            </w:r>
          </w:p>
        </w:tc>
        <w:tc>
          <w:tcPr>
            <w:tcW w:w="976" w:type="pct"/>
            <w:shd w:val="clear" w:color="auto" w:fill="auto"/>
            <w:tcMar>
              <w:top w:w="0" w:type="dxa"/>
              <w:bottom w:w="0" w:type="dxa"/>
            </w:tcMar>
            <w:vAlign w:val="center"/>
          </w:tcPr>
          <w:p w14:paraId="23AC8E2F"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-1.80%</w:t>
            </w:r>
          </w:p>
        </w:tc>
      </w:tr>
      <w:tr w:rsidR="007E20BA" w:rsidRPr="00F72E7A" w14:paraId="1F0BE032" w14:textId="77777777" w:rsidTr="00F72E7A">
        <w:tc>
          <w:tcPr>
            <w:tcW w:w="430" w:type="pct"/>
            <w:shd w:val="clear" w:color="auto" w:fill="auto"/>
            <w:tcMar>
              <w:top w:w="0" w:type="dxa"/>
              <w:bottom w:w="0" w:type="dxa"/>
            </w:tcMar>
            <w:vAlign w:val="center"/>
          </w:tcPr>
          <w:p w14:paraId="394671B9"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979" w:type="pct"/>
            <w:shd w:val="clear" w:color="auto" w:fill="auto"/>
            <w:tcMar>
              <w:top w:w="0" w:type="dxa"/>
              <w:bottom w:w="0" w:type="dxa"/>
            </w:tcMar>
            <w:vAlign w:val="center"/>
          </w:tcPr>
          <w:p w14:paraId="5E859435"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Owners’ equity</w:t>
            </w:r>
          </w:p>
        </w:tc>
        <w:tc>
          <w:tcPr>
            <w:tcW w:w="1389" w:type="pct"/>
            <w:shd w:val="clear" w:color="auto" w:fill="auto"/>
            <w:tcMar>
              <w:top w:w="0" w:type="dxa"/>
              <w:bottom w:w="0" w:type="dxa"/>
            </w:tcMar>
            <w:vAlign w:val="center"/>
          </w:tcPr>
          <w:p w14:paraId="45939277"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871.72</w:t>
            </w:r>
          </w:p>
        </w:tc>
        <w:tc>
          <w:tcPr>
            <w:tcW w:w="1226" w:type="pct"/>
            <w:shd w:val="clear" w:color="auto" w:fill="auto"/>
            <w:tcMar>
              <w:top w:w="0" w:type="dxa"/>
              <w:bottom w:w="0" w:type="dxa"/>
            </w:tcMar>
            <w:vAlign w:val="center"/>
          </w:tcPr>
          <w:p w14:paraId="4966B792"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911.52</w:t>
            </w:r>
          </w:p>
        </w:tc>
        <w:tc>
          <w:tcPr>
            <w:tcW w:w="976" w:type="pct"/>
            <w:shd w:val="clear" w:color="auto" w:fill="auto"/>
            <w:tcMar>
              <w:top w:w="0" w:type="dxa"/>
              <w:bottom w:w="0" w:type="dxa"/>
            </w:tcMar>
            <w:vAlign w:val="center"/>
          </w:tcPr>
          <w:p w14:paraId="049D3BCD"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4.56%</w:t>
            </w:r>
          </w:p>
        </w:tc>
      </w:tr>
      <w:tr w:rsidR="007E20BA" w:rsidRPr="00F72E7A" w14:paraId="61CF44A8" w14:textId="77777777" w:rsidTr="00F72E7A">
        <w:tc>
          <w:tcPr>
            <w:tcW w:w="430" w:type="pct"/>
            <w:shd w:val="clear" w:color="auto" w:fill="auto"/>
            <w:tcMar>
              <w:top w:w="0" w:type="dxa"/>
              <w:bottom w:w="0" w:type="dxa"/>
            </w:tcMar>
            <w:vAlign w:val="center"/>
          </w:tcPr>
          <w:p w14:paraId="25A4A4E6"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979" w:type="pct"/>
            <w:shd w:val="clear" w:color="auto" w:fill="auto"/>
            <w:tcMar>
              <w:top w:w="0" w:type="dxa"/>
              <w:bottom w:w="0" w:type="dxa"/>
            </w:tcMar>
            <w:vAlign w:val="center"/>
          </w:tcPr>
          <w:p w14:paraId="3856D104"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 from goods sold and services provided</w:t>
            </w:r>
          </w:p>
        </w:tc>
        <w:tc>
          <w:tcPr>
            <w:tcW w:w="1389" w:type="pct"/>
            <w:shd w:val="clear" w:color="auto" w:fill="auto"/>
            <w:tcMar>
              <w:top w:w="0" w:type="dxa"/>
              <w:bottom w:w="0" w:type="dxa"/>
            </w:tcMar>
            <w:vAlign w:val="center"/>
          </w:tcPr>
          <w:p w14:paraId="759D4889"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2,065.19</w:t>
            </w:r>
          </w:p>
        </w:tc>
        <w:tc>
          <w:tcPr>
            <w:tcW w:w="1226" w:type="pct"/>
            <w:shd w:val="clear" w:color="auto" w:fill="auto"/>
            <w:tcMar>
              <w:top w:w="0" w:type="dxa"/>
              <w:bottom w:w="0" w:type="dxa"/>
            </w:tcMar>
            <w:vAlign w:val="center"/>
          </w:tcPr>
          <w:p w14:paraId="2DF4B7EA"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2,002.49</w:t>
            </w:r>
          </w:p>
        </w:tc>
        <w:tc>
          <w:tcPr>
            <w:tcW w:w="976" w:type="pct"/>
            <w:shd w:val="clear" w:color="auto" w:fill="auto"/>
            <w:tcMar>
              <w:top w:w="0" w:type="dxa"/>
              <w:bottom w:w="0" w:type="dxa"/>
            </w:tcMar>
            <w:vAlign w:val="center"/>
          </w:tcPr>
          <w:p w14:paraId="2040677F"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-3.04%</w:t>
            </w:r>
          </w:p>
        </w:tc>
      </w:tr>
      <w:tr w:rsidR="007E20BA" w:rsidRPr="00F72E7A" w14:paraId="7F7F5B83" w14:textId="77777777" w:rsidTr="00F72E7A">
        <w:tc>
          <w:tcPr>
            <w:tcW w:w="430" w:type="pct"/>
            <w:shd w:val="clear" w:color="auto" w:fill="auto"/>
            <w:tcMar>
              <w:top w:w="0" w:type="dxa"/>
              <w:bottom w:w="0" w:type="dxa"/>
            </w:tcMar>
            <w:vAlign w:val="center"/>
          </w:tcPr>
          <w:p w14:paraId="6789D2D8"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979" w:type="pct"/>
            <w:shd w:val="clear" w:color="auto" w:fill="auto"/>
            <w:tcMar>
              <w:top w:w="0" w:type="dxa"/>
              <w:bottom w:w="0" w:type="dxa"/>
            </w:tcMar>
            <w:vAlign w:val="center"/>
          </w:tcPr>
          <w:p w14:paraId="2D6AA54D"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1389" w:type="pct"/>
            <w:shd w:val="clear" w:color="auto" w:fill="auto"/>
            <w:tcMar>
              <w:top w:w="0" w:type="dxa"/>
              <w:bottom w:w="0" w:type="dxa"/>
            </w:tcMar>
            <w:vAlign w:val="center"/>
          </w:tcPr>
          <w:p w14:paraId="6F5445F9"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2,021.54</w:t>
            </w:r>
          </w:p>
        </w:tc>
        <w:tc>
          <w:tcPr>
            <w:tcW w:w="1226" w:type="pct"/>
            <w:shd w:val="clear" w:color="auto" w:fill="auto"/>
            <w:tcMar>
              <w:top w:w="0" w:type="dxa"/>
              <w:bottom w:w="0" w:type="dxa"/>
            </w:tcMar>
            <w:vAlign w:val="center"/>
          </w:tcPr>
          <w:p w14:paraId="0F0D5AD8"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1,831.8</w:t>
            </w:r>
          </w:p>
        </w:tc>
        <w:tc>
          <w:tcPr>
            <w:tcW w:w="976" w:type="pct"/>
            <w:shd w:val="clear" w:color="auto" w:fill="auto"/>
            <w:tcMar>
              <w:top w:w="0" w:type="dxa"/>
              <w:bottom w:w="0" w:type="dxa"/>
            </w:tcMar>
            <w:vAlign w:val="center"/>
          </w:tcPr>
          <w:p w14:paraId="0E62CDD7"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-9.39%</w:t>
            </w:r>
          </w:p>
        </w:tc>
      </w:tr>
      <w:tr w:rsidR="007E20BA" w:rsidRPr="00F72E7A" w14:paraId="7837EF79" w14:textId="77777777" w:rsidTr="00F72E7A">
        <w:tc>
          <w:tcPr>
            <w:tcW w:w="430" w:type="pct"/>
            <w:shd w:val="clear" w:color="auto" w:fill="auto"/>
            <w:tcMar>
              <w:top w:w="0" w:type="dxa"/>
              <w:bottom w:w="0" w:type="dxa"/>
            </w:tcMar>
            <w:vAlign w:val="center"/>
          </w:tcPr>
          <w:p w14:paraId="53E6A973"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979" w:type="pct"/>
            <w:shd w:val="clear" w:color="auto" w:fill="auto"/>
            <w:tcMar>
              <w:top w:w="0" w:type="dxa"/>
              <w:bottom w:w="0" w:type="dxa"/>
            </w:tcMar>
            <w:vAlign w:val="center"/>
          </w:tcPr>
          <w:p w14:paraId="52FF7A2A"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1389" w:type="pct"/>
            <w:shd w:val="clear" w:color="auto" w:fill="auto"/>
            <w:tcMar>
              <w:top w:w="0" w:type="dxa"/>
              <w:bottom w:w="0" w:type="dxa"/>
            </w:tcMar>
            <w:vAlign w:val="center"/>
          </w:tcPr>
          <w:p w14:paraId="2DFE91D9"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124.45</w:t>
            </w:r>
          </w:p>
        </w:tc>
        <w:tc>
          <w:tcPr>
            <w:tcW w:w="1226" w:type="pct"/>
            <w:shd w:val="clear" w:color="auto" w:fill="auto"/>
            <w:tcMar>
              <w:top w:w="0" w:type="dxa"/>
              <w:bottom w:w="0" w:type="dxa"/>
            </w:tcMar>
            <w:vAlign w:val="center"/>
          </w:tcPr>
          <w:p w14:paraId="1A2DFD96"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62.46</w:t>
            </w:r>
          </w:p>
        </w:tc>
        <w:tc>
          <w:tcPr>
            <w:tcW w:w="976" w:type="pct"/>
            <w:shd w:val="clear" w:color="auto" w:fill="auto"/>
            <w:tcMar>
              <w:top w:w="0" w:type="dxa"/>
              <w:bottom w:w="0" w:type="dxa"/>
            </w:tcMar>
            <w:vAlign w:val="center"/>
          </w:tcPr>
          <w:p w14:paraId="71662F77"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-49.82%</w:t>
            </w:r>
          </w:p>
        </w:tc>
      </w:tr>
      <w:tr w:rsidR="007E20BA" w:rsidRPr="00F72E7A" w14:paraId="0C7393E2" w14:textId="77777777" w:rsidTr="00F72E7A">
        <w:tc>
          <w:tcPr>
            <w:tcW w:w="430" w:type="pct"/>
            <w:shd w:val="clear" w:color="auto" w:fill="auto"/>
            <w:tcMar>
              <w:top w:w="0" w:type="dxa"/>
              <w:bottom w:w="0" w:type="dxa"/>
            </w:tcMar>
            <w:vAlign w:val="center"/>
          </w:tcPr>
          <w:p w14:paraId="14EAEFEB"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979" w:type="pct"/>
            <w:shd w:val="clear" w:color="auto" w:fill="auto"/>
            <w:tcMar>
              <w:top w:w="0" w:type="dxa"/>
              <w:bottom w:w="0" w:type="dxa"/>
            </w:tcMar>
            <w:vAlign w:val="center"/>
          </w:tcPr>
          <w:p w14:paraId="1402C0B2"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389" w:type="pct"/>
            <w:shd w:val="clear" w:color="auto" w:fill="auto"/>
            <w:tcMar>
              <w:top w:w="0" w:type="dxa"/>
              <w:bottom w:w="0" w:type="dxa"/>
            </w:tcMar>
            <w:vAlign w:val="center"/>
          </w:tcPr>
          <w:p w14:paraId="48A73A97"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94.95</w:t>
            </w:r>
          </w:p>
        </w:tc>
        <w:tc>
          <w:tcPr>
            <w:tcW w:w="1226" w:type="pct"/>
            <w:shd w:val="clear" w:color="auto" w:fill="auto"/>
            <w:tcMar>
              <w:top w:w="0" w:type="dxa"/>
              <w:bottom w:w="0" w:type="dxa"/>
            </w:tcMar>
            <w:vAlign w:val="center"/>
          </w:tcPr>
          <w:p w14:paraId="527F8919"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40.62</w:t>
            </w:r>
          </w:p>
        </w:tc>
        <w:tc>
          <w:tcPr>
            <w:tcW w:w="976" w:type="pct"/>
            <w:shd w:val="clear" w:color="auto" w:fill="auto"/>
            <w:tcMar>
              <w:top w:w="0" w:type="dxa"/>
              <w:bottom w:w="0" w:type="dxa"/>
            </w:tcMar>
            <w:vAlign w:val="center"/>
          </w:tcPr>
          <w:p w14:paraId="01BB608C"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-57.22%</w:t>
            </w:r>
          </w:p>
        </w:tc>
      </w:tr>
    </w:tbl>
    <w:p w14:paraId="48FD0159" w14:textId="3D94050A" w:rsidR="00F72E7A" w:rsidRPr="00F72E7A" w:rsidRDefault="00F72E7A"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Basic planned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7"/>
        <w:gridCol w:w="3284"/>
        <w:gridCol w:w="1004"/>
        <w:gridCol w:w="1394"/>
        <w:gridCol w:w="1219"/>
        <w:gridCol w:w="1529"/>
      </w:tblGrid>
      <w:tr w:rsidR="00F72E7A" w:rsidRPr="00F72E7A" w14:paraId="02E9C3F0" w14:textId="77777777" w:rsidTr="00F72E7A">
        <w:tc>
          <w:tcPr>
            <w:tcW w:w="325" w:type="pct"/>
            <w:shd w:val="clear" w:color="auto" w:fill="auto"/>
            <w:vAlign w:val="center"/>
          </w:tcPr>
          <w:p w14:paraId="2D297F4D"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No.</w:t>
            </w:r>
          </w:p>
        </w:tc>
        <w:tc>
          <w:tcPr>
            <w:tcW w:w="1821" w:type="pct"/>
            <w:shd w:val="clear" w:color="auto" w:fill="auto"/>
            <w:vAlign w:val="center"/>
          </w:tcPr>
          <w:p w14:paraId="2C057E92"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Target</w:t>
            </w:r>
          </w:p>
        </w:tc>
        <w:tc>
          <w:tcPr>
            <w:tcW w:w="557" w:type="pct"/>
            <w:shd w:val="clear" w:color="auto" w:fill="auto"/>
            <w:vAlign w:val="center"/>
          </w:tcPr>
          <w:p w14:paraId="69D57975"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Units</w:t>
            </w:r>
          </w:p>
        </w:tc>
        <w:tc>
          <w:tcPr>
            <w:tcW w:w="773" w:type="pct"/>
            <w:shd w:val="clear" w:color="auto" w:fill="auto"/>
            <w:vAlign w:val="center"/>
          </w:tcPr>
          <w:p w14:paraId="3DA17637"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Results 2023</w:t>
            </w:r>
          </w:p>
        </w:tc>
        <w:tc>
          <w:tcPr>
            <w:tcW w:w="676" w:type="pct"/>
            <w:shd w:val="clear" w:color="auto" w:fill="auto"/>
            <w:vAlign w:val="center"/>
          </w:tcPr>
          <w:p w14:paraId="7640E75B"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 xml:space="preserve">Plan 2024 </w:t>
            </w:r>
          </w:p>
        </w:tc>
        <w:tc>
          <w:tcPr>
            <w:tcW w:w="849" w:type="pct"/>
            <w:shd w:val="clear" w:color="auto" w:fill="auto"/>
            <w:vAlign w:val="center"/>
          </w:tcPr>
          <w:p w14:paraId="32F883EC"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 xml:space="preserve">Compared to results 2024 </w:t>
            </w:r>
          </w:p>
        </w:tc>
      </w:tr>
      <w:tr w:rsidR="00F72E7A" w:rsidRPr="00F72E7A" w14:paraId="628DD7AA" w14:textId="77777777" w:rsidTr="00F72E7A">
        <w:tc>
          <w:tcPr>
            <w:tcW w:w="325" w:type="pct"/>
            <w:shd w:val="clear" w:color="auto" w:fill="auto"/>
            <w:vAlign w:val="center"/>
          </w:tcPr>
          <w:p w14:paraId="5D0E8170"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1</w:t>
            </w:r>
          </w:p>
        </w:tc>
        <w:tc>
          <w:tcPr>
            <w:tcW w:w="1821" w:type="pct"/>
            <w:shd w:val="clear" w:color="auto" w:fill="auto"/>
            <w:vAlign w:val="center"/>
          </w:tcPr>
          <w:p w14:paraId="108888D3"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Consolidated net revenue</w:t>
            </w:r>
          </w:p>
        </w:tc>
        <w:tc>
          <w:tcPr>
            <w:tcW w:w="557" w:type="pct"/>
            <w:shd w:val="clear" w:color="auto" w:fill="auto"/>
            <w:vAlign w:val="center"/>
          </w:tcPr>
          <w:p w14:paraId="60F5B6AE"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Billion VND</w:t>
            </w:r>
          </w:p>
        </w:tc>
        <w:tc>
          <w:tcPr>
            <w:tcW w:w="773" w:type="pct"/>
            <w:shd w:val="clear" w:color="auto" w:fill="auto"/>
            <w:vAlign w:val="center"/>
          </w:tcPr>
          <w:p w14:paraId="4D6E1B9C"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1,832</w:t>
            </w:r>
          </w:p>
        </w:tc>
        <w:tc>
          <w:tcPr>
            <w:tcW w:w="676" w:type="pct"/>
            <w:shd w:val="clear" w:color="auto" w:fill="auto"/>
            <w:vAlign w:val="center"/>
          </w:tcPr>
          <w:p w14:paraId="142606D1"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1,917</w:t>
            </w:r>
          </w:p>
        </w:tc>
        <w:tc>
          <w:tcPr>
            <w:tcW w:w="849" w:type="pct"/>
            <w:shd w:val="clear" w:color="auto" w:fill="auto"/>
            <w:vAlign w:val="center"/>
          </w:tcPr>
          <w:p w14:paraId="11E03CEC"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5%</w:t>
            </w:r>
          </w:p>
        </w:tc>
      </w:tr>
      <w:tr w:rsidR="00F72E7A" w:rsidRPr="00F72E7A" w14:paraId="287CABAE" w14:textId="77777777" w:rsidTr="00F72E7A">
        <w:tc>
          <w:tcPr>
            <w:tcW w:w="325" w:type="pct"/>
            <w:shd w:val="clear" w:color="auto" w:fill="auto"/>
            <w:vAlign w:val="center"/>
          </w:tcPr>
          <w:p w14:paraId="76977BDB"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2</w:t>
            </w:r>
          </w:p>
        </w:tc>
        <w:tc>
          <w:tcPr>
            <w:tcW w:w="1821" w:type="pct"/>
            <w:shd w:val="clear" w:color="auto" w:fill="auto"/>
            <w:vAlign w:val="center"/>
          </w:tcPr>
          <w:p w14:paraId="2C777E5D"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Profit after tax</w:t>
            </w:r>
          </w:p>
        </w:tc>
        <w:tc>
          <w:tcPr>
            <w:tcW w:w="557" w:type="pct"/>
            <w:shd w:val="clear" w:color="auto" w:fill="auto"/>
            <w:vAlign w:val="center"/>
          </w:tcPr>
          <w:p w14:paraId="7F378EB9"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Billion VND</w:t>
            </w:r>
          </w:p>
        </w:tc>
        <w:tc>
          <w:tcPr>
            <w:tcW w:w="773" w:type="pct"/>
            <w:shd w:val="clear" w:color="auto" w:fill="auto"/>
            <w:vAlign w:val="center"/>
          </w:tcPr>
          <w:p w14:paraId="116B405A"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40.6</w:t>
            </w:r>
          </w:p>
        </w:tc>
        <w:tc>
          <w:tcPr>
            <w:tcW w:w="676" w:type="pct"/>
            <w:shd w:val="clear" w:color="auto" w:fill="auto"/>
            <w:vAlign w:val="center"/>
          </w:tcPr>
          <w:p w14:paraId="5A907AF6"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51.0</w:t>
            </w:r>
          </w:p>
        </w:tc>
        <w:tc>
          <w:tcPr>
            <w:tcW w:w="849" w:type="pct"/>
            <w:shd w:val="clear" w:color="auto" w:fill="auto"/>
            <w:vAlign w:val="center"/>
          </w:tcPr>
          <w:p w14:paraId="73CA0708" w14:textId="77777777" w:rsidR="00F72E7A" w:rsidRPr="00F72E7A" w:rsidRDefault="00F72E7A" w:rsidP="00B950A5">
            <w:pPr>
              <w:widowControl/>
              <w:spacing w:after="120" w:line="360" w:lineRule="auto"/>
              <w:jc w:val="both"/>
              <w:rPr>
                <w:rFonts w:ascii="Arial" w:eastAsia="Times New Roman" w:hAnsi="Arial" w:cs="Arial"/>
                <w:color w:val="010000"/>
                <w:sz w:val="20"/>
              </w:rPr>
            </w:pPr>
            <w:r>
              <w:rPr>
                <w:rFonts w:ascii="Arial" w:hAnsi="Arial"/>
                <w:color w:val="010000"/>
                <w:sz w:val="20"/>
              </w:rPr>
              <w:t>26%</w:t>
            </w:r>
          </w:p>
        </w:tc>
      </w:tr>
    </w:tbl>
    <w:p w14:paraId="51D2E9BB"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activities of the Supervisory Board of the Company in 2023 and orientations for 2024;</w:t>
      </w:r>
    </w:p>
    <w:p w14:paraId="235D9BA1" w14:textId="1654389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audited separate and consolidated Financial Statements for 2024 of the Company </w:t>
      </w:r>
    </w:p>
    <w:p w14:paraId="59282A28" w14:textId="35E167E4"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distribution of the Company's profit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4916"/>
        <w:gridCol w:w="1077"/>
        <w:gridCol w:w="2480"/>
      </w:tblGrid>
      <w:tr w:rsidR="007E20BA" w:rsidRPr="00F72E7A" w14:paraId="70B33894" w14:textId="77777777" w:rsidTr="00F72E7A">
        <w:tc>
          <w:tcPr>
            <w:tcW w:w="302" w:type="pct"/>
            <w:shd w:val="clear" w:color="auto" w:fill="auto"/>
            <w:tcMar>
              <w:top w:w="0" w:type="dxa"/>
              <w:bottom w:w="0" w:type="dxa"/>
            </w:tcMar>
            <w:vAlign w:val="center"/>
          </w:tcPr>
          <w:p w14:paraId="74E622FC"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726" w:type="pct"/>
            <w:shd w:val="clear" w:color="auto" w:fill="auto"/>
            <w:tcMar>
              <w:top w:w="0" w:type="dxa"/>
              <w:bottom w:w="0" w:type="dxa"/>
            </w:tcMar>
            <w:vAlign w:val="center"/>
          </w:tcPr>
          <w:p w14:paraId="3BD91150"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597" w:type="pct"/>
            <w:shd w:val="clear" w:color="auto" w:fill="auto"/>
            <w:tcMar>
              <w:top w:w="0" w:type="dxa"/>
              <w:bottom w:w="0" w:type="dxa"/>
            </w:tcMar>
            <w:vAlign w:val="center"/>
          </w:tcPr>
          <w:p w14:paraId="1179F5F8"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375" w:type="pct"/>
            <w:shd w:val="clear" w:color="auto" w:fill="auto"/>
            <w:tcMar>
              <w:top w:w="0" w:type="dxa"/>
              <w:bottom w:w="0" w:type="dxa"/>
            </w:tcMar>
            <w:vAlign w:val="center"/>
          </w:tcPr>
          <w:p w14:paraId="0EDDDEA6"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 2023</w:t>
            </w:r>
          </w:p>
        </w:tc>
      </w:tr>
      <w:tr w:rsidR="007E20BA" w:rsidRPr="00F72E7A" w14:paraId="5FDBC510" w14:textId="77777777" w:rsidTr="00F72E7A">
        <w:tc>
          <w:tcPr>
            <w:tcW w:w="302" w:type="pct"/>
            <w:shd w:val="clear" w:color="auto" w:fill="auto"/>
            <w:tcMar>
              <w:top w:w="0" w:type="dxa"/>
              <w:bottom w:w="0" w:type="dxa"/>
            </w:tcMar>
            <w:vAlign w:val="center"/>
          </w:tcPr>
          <w:p w14:paraId="268E8166"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726" w:type="pct"/>
            <w:shd w:val="clear" w:color="auto" w:fill="auto"/>
            <w:tcMar>
              <w:top w:w="0" w:type="dxa"/>
              <w:bottom w:w="0" w:type="dxa"/>
            </w:tcMar>
            <w:vAlign w:val="center"/>
          </w:tcPr>
          <w:p w14:paraId="4406F4CE"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Revenue from goods sold and services provided</w:t>
            </w:r>
          </w:p>
        </w:tc>
        <w:tc>
          <w:tcPr>
            <w:tcW w:w="597" w:type="pct"/>
            <w:shd w:val="clear" w:color="auto" w:fill="auto"/>
            <w:tcMar>
              <w:top w:w="0" w:type="dxa"/>
              <w:bottom w:w="0" w:type="dxa"/>
            </w:tcMar>
            <w:vAlign w:val="center"/>
          </w:tcPr>
          <w:p w14:paraId="59EA5901"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375" w:type="pct"/>
            <w:shd w:val="clear" w:color="auto" w:fill="auto"/>
            <w:tcMar>
              <w:top w:w="0" w:type="dxa"/>
              <w:bottom w:w="0" w:type="dxa"/>
            </w:tcMar>
            <w:vAlign w:val="center"/>
          </w:tcPr>
          <w:p w14:paraId="0E6550DC"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2,002,486,096,252</w:t>
            </w:r>
          </w:p>
        </w:tc>
      </w:tr>
      <w:tr w:rsidR="007E20BA" w:rsidRPr="00F72E7A" w14:paraId="3A43115E" w14:textId="77777777" w:rsidTr="00F72E7A">
        <w:tc>
          <w:tcPr>
            <w:tcW w:w="302" w:type="pct"/>
            <w:shd w:val="clear" w:color="auto" w:fill="auto"/>
            <w:tcMar>
              <w:top w:w="0" w:type="dxa"/>
              <w:bottom w:w="0" w:type="dxa"/>
            </w:tcMar>
            <w:vAlign w:val="center"/>
          </w:tcPr>
          <w:p w14:paraId="0D23D90C"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726" w:type="pct"/>
            <w:shd w:val="clear" w:color="auto" w:fill="auto"/>
            <w:tcMar>
              <w:top w:w="0" w:type="dxa"/>
              <w:bottom w:w="0" w:type="dxa"/>
            </w:tcMar>
            <w:vAlign w:val="center"/>
          </w:tcPr>
          <w:p w14:paraId="334A59DB"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profit before tax</w:t>
            </w:r>
          </w:p>
        </w:tc>
        <w:tc>
          <w:tcPr>
            <w:tcW w:w="597" w:type="pct"/>
            <w:shd w:val="clear" w:color="auto" w:fill="auto"/>
            <w:tcMar>
              <w:top w:w="0" w:type="dxa"/>
              <w:bottom w:w="0" w:type="dxa"/>
            </w:tcMar>
            <w:vAlign w:val="center"/>
          </w:tcPr>
          <w:p w14:paraId="4665FEC0"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375" w:type="pct"/>
            <w:shd w:val="clear" w:color="auto" w:fill="auto"/>
            <w:tcMar>
              <w:top w:w="0" w:type="dxa"/>
              <w:bottom w:w="0" w:type="dxa"/>
            </w:tcMar>
            <w:vAlign w:val="center"/>
          </w:tcPr>
          <w:p w14:paraId="51EADD92"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38,974,963,686</w:t>
            </w:r>
          </w:p>
        </w:tc>
      </w:tr>
      <w:tr w:rsidR="007E20BA" w:rsidRPr="00F72E7A" w14:paraId="3014D377" w14:textId="77777777" w:rsidTr="00F72E7A">
        <w:tc>
          <w:tcPr>
            <w:tcW w:w="302" w:type="pct"/>
            <w:shd w:val="clear" w:color="auto" w:fill="auto"/>
            <w:tcMar>
              <w:top w:w="0" w:type="dxa"/>
              <w:bottom w:w="0" w:type="dxa"/>
            </w:tcMar>
            <w:vAlign w:val="center"/>
          </w:tcPr>
          <w:p w14:paraId="39FE0922"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2726" w:type="pct"/>
            <w:shd w:val="clear" w:color="auto" w:fill="auto"/>
            <w:tcMar>
              <w:top w:w="0" w:type="dxa"/>
              <w:bottom w:w="0" w:type="dxa"/>
            </w:tcMar>
            <w:vAlign w:val="center"/>
          </w:tcPr>
          <w:p w14:paraId="61B129DA"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corporate income tax</w:t>
            </w:r>
          </w:p>
        </w:tc>
        <w:tc>
          <w:tcPr>
            <w:tcW w:w="597" w:type="pct"/>
            <w:shd w:val="clear" w:color="auto" w:fill="auto"/>
            <w:tcMar>
              <w:top w:w="0" w:type="dxa"/>
              <w:bottom w:w="0" w:type="dxa"/>
            </w:tcMar>
            <w:vAlign w:val="center"/>
          </w:tcPr>
          <w:p w14:paraId="649F7B7E"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375" w:type="pct"/>
            <w:shd w:val="clear" w:color="auto" w:fill="auto"/>
            <w:tcMar>
              <w:top w:w="0" w:type="dxa"/>
              <w:bottom w:w="0" w:type="dxa"/>
            </w:tcMar>
            <w:vAlign w:val="center"/>
          </w:tcPr>
          <w:p w14:paraId="55516ECF"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33,904,013,073</w:t>
            </w:r>
          </w:p>
        </w:tc>
      </w:tr>
      <w:tr w:rsidR="007E20BA" w:rsidRPr="00F72E7A" w14:paraId="13810A3B" w14:textId="77777777" w:rsidTr="00F72E7A">
        <w:tc>
          <w:tcPr>
            <w:tcW w:w="302" w:type="pct"/>
            <w:shd w:val="clear" w:color="auto" w:fill="auto"/>
            <w:tcMar>
              <w:top w:w="0" w:type="dxa"/>
              <w:bottom w:w="0" w:type="dxa"/>
            </w:tcMar>
            <w:vAlign w:val="center"/>
          </w:tcPr>
          <w:p w14:paraId="2A015506"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726" w:type="pct"/>
            <w:shd w:val="clear" w:color="auto" w:fill="auto"/>
            <w:tcMar>
              <w:top w:w="0" w:type="dxa"/>
              <w:bottom w:w="0" w:type="dxa"/>
            </w:tcMar>
            <w:vAlign w:val="center"/>
          </w:tcPr>
          <w:p w14:paraId="10278406"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 in 2022</w:t>
            </w:r>
          </w:p>
        </w:tc>
        <w:tc>
          <w:tcPr>
            <w:tcW w:w="597" w:type="pct"/>
            <w:shd w:val="clear" w:color="auto" w:fill="auto"/>
            <w:tcMar>
              <w:top w:w="0" w:type="dxa"/>
              <w:bottom w:w="0" w:type="dxa"/>
            </w:tcMar>
            <w:vAlign w:val="center"/>
          </w:tcPr>
          <w:p w14:paraId="5700A089"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375" w:type="pct"/>
            <w:shd w:val="clear" w:color="auto" w:fill="auto"/>
            <w:tcMar>
              <w:top w:w="0" w:type="dxa"/>
              <w:bottom w:w="0" w:type="dxa"/>
            </w:tcMar>
            <w:vAlign w:val="center"/>
          </w:tcPr>
          <w:p w14:paraId="4E1B971D"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r w:rsidR="007E20BA" w:rsidRPr="00F72E7A" w14:paraId="4820DCCF" w14:textId="77777777" w:rsidTr="00F72E7A">
        <w:tc>
          <w:tcPr>
            <w:tcW w:w="302" w:type="pct"/>
            <w:shd w:val="clear" w:color="auto" w:fill="auto"/>
            <w:tcMar>
              <w:top w:w="0" w:type="dxa"/>
              <w:bottom w:w="0" w:type="dxa"/>
            </w:tcMar>
            <w:vAlign w:val="center"/>
          </w:tcPr>
          <w:p w14:paraId="587232FA"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726" w:type="pct"/>
            <w:shd w:val="clear" w:color="auto" w:fill="auto"/>
            <w:tcMar>
              <w:top w:w="0" w:type="dxa"/>
              <w:bottom w:w="0" w:type="dxa"/>
            </w:tcMar>
            <w:vAlign w:val="center"/>
          </w:tcPr>
          <w:p w14:paraId="301A8DD8"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transferred to the next year:</w:t>
            </w:r>
          </w:p>
        </w:tc>
        <w:tc>
          <w:tcPr>
            <w:tcW w:w="597" w:type="pct"/>
            <w:shd w:val="clear" w:color="auto" w:fill="auto"/>
            <w:tcMar>
              <w:top w:w="0" w:type="dxa"/>
              <w:bottom w:w="0" w:type="dxa"/>
            </w:tcMar>
            <w:vAlign w:val="center"/>
          </w:tcPr>
          <w:p w14:paraId="05C055F6"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375" w:type="pct"/>
            <w:shd w:val="clear" w:color="auto" w:fill="auto"/>
            <w:tcMar>
              <w:top w:w="0" w:type="dxa"/>
              <w:bottom w:w="0" w:type="dxa"/>
            </w:tcMar>
            <w:vAlign w:val="center"/>
          </w:tcPr>
          <w:p w14:paraId="3EAE8493"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33,904,013,073</w:t>
            </w:r>
          </w:p>
        </w:tc>
      </w:tr>
      <w:tr w:rsidR="007E20BA" w:rsidRPr="00F72E7A" w14:paraId="7ED74CF3" w14:textId="77777777" w:rsidTr="00F72E7A">
        <w:tc>
          <w:tcPr>
            <w:tcW w:w="302" w:type="pct"/>
            <w:shd w:val="clear" w:color="auto" w:fill="auto"/>
            <w:tcMar>
              <w:top w:w="0" w:type="dxa"/>
              <w:bottom w:w="0" w:type="dxa"/>
            </w:tcMar>
            <w:vAlign w:val="center"/>
          </w:tcPr>
          <w:p w14:paraId="2FC3D022"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726" w:type="pct"/>
            <w:shd w:val="clear" w:color="auto" w:fill="auto"/>
            <w:tcMar>
              <w:top w:w="0" w:type="dxa"/>
              <w:bottom w:w="0" w:type="dxa"/>
            </w:tcMar>
            <w:vAlign w:val="center"/>
          </w:tcPr>
          <w:p w14:paraId="06148784"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Dividend/profit rate</w:t>
            </w:r>
          </w:p>
        </w:tc>
        <w:tc>
          <w:tcPr>
            <w:tcW w:w="597" w:type="pct"/>
            <w:shd w:val="clear" w:color="auto" w:fill="auto"/>
            <w:tcMar>
              <w:top w:w="0" w:type="dxa"/>
              <w:bottom w:w="0" w:type="dxa"/>
            </w:tcMar>
            <w:vAlign w:val="center"/>
          </w:tcPr>
          <w:p w14:paraId="5C9F7A4A"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375" w:type="pct"/>
            <w:shd w:val="clear" w:color="auto" w:fill="auto"/>
            <w:tcMar>
              <w:top w:w="0" w:type="dxa"/>
              <w:bottom w:w="0" w:type="dxa"/>
            </w:tcMar>
            <w:vAlign w:val="center"/>
          </w:tcPr>
          <w:p w14:paraId="6D235095" w14:textId="77777777" w:rsidR="007E20BA" w:rsidRPr="00F72E7A" w:rsidRDefault="006E5BA1" w:rsidP="00B950A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0%</w:t>
            </w:r>
          </w:p>
        </w:tc>
      </w:tr>
    </w:tbl>
    <w:p w14:paraId="24B00AFA" w14:textId="06FCF79B"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Approve the payment of remuneration to members of the Board of Directors and Supervisory Board in 2023 and the plan for remuneration of the Board of Directors and Supervisory Board in 2024 of the Company </w:t>
      </w:r>
    </w:p>
    <w:p w14:paraId="10A1E6AD" w14:textId="548CF69F"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selection of the auditing company for the Company's Financial Statements in 2024 </w:t>
      </w:r>
    </w:p>
    <w:p w14:paraId="2E1B23C3" w14:textId="3EDE15F1"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addition of business lines of the Company </w:t>
      </w:r>
    </w:p>
    <w:p w14:paraId="6237AA0F"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dismissal of Ms. Phan Thuy Giang and Ms. Nguyen Hong Oanh from the position of members of the Supervisory Board of the Company. The time of dismissal is from April 23, 2024.</w:t>
      </w:r>
    </w:p>
    <w:p w14:paraId="0C83E076"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Assign the Board of General Directors of the Company to consider and settle issues related to the rights and benefits of the above-mentioned members of the Supervisory Board in accordance with the Company's regulations and relevant laws.</w:t>
      </w:r>
    </w:p>
    <w:p w14:paraId="3A46CEA2"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Elect the following Mr./Ms. as additional members of the Supervisory Board for the term 2021 - 2026 of the Company, including:</w:t>
      </w:r>
    </w:p>
    <w:p w14:paraId="4971E66E" w14:textId="77777777" w:rsidR="007E20BA" w:rsidRPr="00F72E7A" w:rsidRDefault="006E5BA1" w:rsidP="00B950A5">
      <w:pPr>
        <w:numPr>
          <w:ilvl w:val="0"/>
          <w:numId w:val="1"/>
        </w:numPr>
        <w:pBdr>
          <w:top w:val="nil"/>
          <w:left w:val="nil"/>
          <w:bottom w:val="nil"/>
          <w:right w:val="nil"/>
          <w:between w:val="nil"/>
        </w:pBdr>
        <w:tabs>
          <w:tab w:val="left" w:pos="432"/>
          <w:tab w:val="left" w:pos="1155"/>
        </w:tabs>
        <w:spacing w:after="120" w:line="360" w:lineRule="auto"/>
        <w:jc w:val="both"/>
        <w:rPr>
          <w:rFonts w:ascii="Arial" w:eastAsia="Arial" w:hAnsi="Arial" w:cs="Arial"/>
          <w:color w:val="010000"/>
          <w:sz w:val="20"/>
          <w:szCs w:val="20"/>
        </w:rPr>
      </w:pPr>
      <w:r>
        <w:rPr>
          <w:rFonts w:ascii="Arial" w:hAnsi="Arial"/>
          <w:color w:val="010000"/>
          <w:sz w:val="20"/>
        </w:rPr>
        <w:t>Ms. Nguyen Thi Huyen - member of the Supervisory Board</w:t>
      </w:r>
    </w:p>
    <w:p w14:paraId="31A1F20A" w14:textId="77777777" w:rsidR="007E20BA" w:rsidRPr="00F72E7A" w:rsidRDefault="006E5BA1" w:rsidP="00B950A5">
      <w:pPr>
        <w:numPr>
          <w:ilvl w:val="0"/>
          <w:numId w:val="1"/>
        </w:numPr>
        <w:pBdr>
          <w:top w:val="nil"/>
          <w:left w:val="nil"/>
          <w:bottom w:val="nil"/>
          <w:right w:val="nil"/>
          <w:between w:val="nil"/>
        </w:pBdr>
        <w:tabs>
          <w:tab w:val="left" w:pos="432"/>
          <w:tab w:val="left" w:pos="1173"/>
        </w:tabs>
        <w:spacing w:after="120" w:line="360" w:lineRule="auto"/>
        <w:jc w:val="both"/>
        <w:rPr>
          <w:rFonts w:ascii="Arial" w:eastAsia="Arial" w:hAnsi="Arial" w:cs="Arial"/>
          <w:color w:val="010000"/>
          <w:sz w:val="20"/>
          <w:szCs w:val="20"/>
        </w:rPr>
      </w:pPr>
      <w:r>
        <w:rPr>
          <w:rFonts w:ascii="Arial" w:hAnsi="Arial"/>
          <w:color w:val="010000"/>
          <w:sz w:val="20"/>
        </w:rPr>
        <w:t>Ms. Nguyen Thi Minh Huyen - member of the Supervisory Board</w:t>
      </w:r>
    </w:p>
    <w:p w14:paraId="2CCF2893"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term of the new members of the Board of Directors follows the remaining term of the current Board of Directors of the Company (2021 - 2026).</w:t>
      </w:r>
    </w:p>
    <w:p w14:paraId="2254590F"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This General Mandate takes effect from the date of its signing.</w:t>
      </w:r>
    </w:p>
    <w:p w14:paraId="18E95D22"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the Board of Management of the Company and relevant individuals are responsible for the implementation of this General Mandate.</w:t>
      </w:r>
    </w:p>
    <w:p w14:paraId="4BA69C2B" w14:textId="77777777" w:rsidR="007E20BA" w:rsidRPr="00F72E7A" w:rsidRDefault="006E5BA1" w:rsidP="00B950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w:t>
      </w:r>
    </w:p>
    <w:sectPr w:rsidR="007E20BA" w:rsidRPr="00F72E7A" w:rsidSect="00F72E7A">
      <w:headerReference w:type="default" r:id="rId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2738" w14:textId="77777777" w:rsidR="00B21C9B" w:rsidRDefault="00B21C9B">
      <w:r>
        <w:separator/>
      </w:r>
    </w:p>
  </w:endnote>
  <w:endnote w:type="continuationSeparator" w:id="0">
    <w:p w14:paraId="3B9B304E" w14:textId="77777777" w:rsidR="00B21C9B" w:rsidRDefault="00B2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628D" w14:textId="77777777" w:rsidR="00B21C9B" w:rsidRDefault="00B21C9B">
      <w:r>
        <w:separator/>
      </w:r>
    </w:p>
  </w:footnote>
  <w:footnote w:type="continuationSeparator" w:id="0">
    <w:p w14:paraId="76E63E72" w14:textId="77777777" w:rsidR="00B21C9B" w:rsidRDefault="00B21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90AC" w14:textId="77777777" w:rsidR="007E20BA" w:rsidRDefault="007E20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F4CD8"/>
    <w:multiLevelType w:val="multilevel"/>
    <w:tmpl w:val="7318E9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494D93"/>
    <w:rsid w:val="006E5BA1"/>
    <w:rsid w:val="007E20BA"/>
    <w:rsid w:val="00B21C9B"/>
    <w:rsid w:val="00B950A5"/>
    <w:rsid w:val="00F72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80A6"/>
  <w15:docId w15:val="{F84672A7-2EF2-4EE8-8428-52A9FF4A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40"/>
      <w:szCs w:val="40"/>
      <w:u w:val="none"/>
      <w:shd w:val="clear" w:color="auto" w:fill="auto"/>
    </w:rPr>
  </w:style>
  <w:style w:type="paragraph" w:customStyle="1" w:styleId="Other0">
    <w:name w:val="Other"/>
    <w:basedOn w:val="Normal"/>
    <w:link w:val="Other"/>
    <w:pPr>
      <w:spacing w:line="302"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302"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sz w:val="17"/>
      <w:szCs w:val="17"/>
    </w:rPr>
  </w:style>
  <w:style w:type="paragraph" w:customStyle="1" w:styleId="Heading21">
    <w:name w:val="Heading #2"/>
    <w:basedOn w:val="Normal"/>
    <w:link w:val="Heading20"/>
    <w:pPr>
      <w:spacing w:line="298" w:lineRule="auto"/>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ind w:firstLine="510"/>
      <w:outlineLvl w:val="0"/>
    </w:pPr>
    <w:rPr>
      <w:rFonts w:ascii="Arial" w:eastAsia="Arial" w:hAnsi="Arial" w:cs="Arial"/>
      <w:b/>
      <w:bCs/>
      <w:sz w:val="40"/>
      <w:szCs w:val="40"/>
    </w:rPr>
  </w:style>
  <w:style w:type="character" w:customStyle="1" w:styleId="Tablecaption">
    <w:name w:val="Table caption_"/>
    <w:basedOn w:val="DefaultParagraphFont"/>
    <w:link w:val="Tablecaption0"/>
    <w:rsid w:val="005A47E5"/>
    <w:rPr>
      <w:rFonts w:ascii="Times New Roman" w:eastAsia="Times New Roman" w:hAnsi="Times New Roman" w:cs="Times New Roman"/>
      <w:sz w:val="22"/>
      <w:szCs w:val="22"/>
    </w:rPr>
  </w:style>
  <w:style w:type="paragraph" w:customStyle="1" w:styleId="Tablecaption0">
    <w:name w:val="Table caption"/>
    <w:basedOn w:val="Normal"/>
    <w:link w:val="Tablecaption"/>
    <w:rsid w:val="005A47E5"/>
    <w:pPr>
      <w:spacing w:line="288" w:lineRule="auto"/>
    </w:pPr>
    <w:rPr>
      <w:rFonts w:ascii="Times New Roman" w:eastAsia="Times New Roman" w:hAnsi="Times New Roman" w:cs="Times New Roman"/>
      <w:color w:val="auto"/>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asUa6+FI9sFBv9NQeppitFBUTQ==">CgMxLjAyCGguZ2pkZ3hzOAByITF4RzhJeTc0QW5XRTdZMUo0MTNKUkNZaW1nU3lFOXQ2RQ==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2024-04-26T07:42:00Z</dcterms:created>
  <dcterms:modified xsi:type="dcterms:W3CDTF">2024-05-03T03:27:00Z</dcterms:modified>
</cp:coreProperties>
</file>