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06CF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b/>
          <w:color w:val="010000"/>
          <w:sz w:val="20"/>
          <w:szCs w:val="20"/>
        </w:rPr>
      </w:pPr>
      <w:r w:rsidRPr="00000BF0">
        <w:rPr>
          <w:rFonts w:ascii="Arial" w:hAnsi="Arial" w:cs="Arial"/>
          <w:b/>
          <w:color w:val="010000"/>
          <w:sz w:val="20"/>
        </w:rPr>
        <w:t>DTK: Annual General Mandate 2024</w:t>
      </w:r>
    </w:p>
    <w:p w14:paraId="3AF1835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On April 24, 2024, </w:t>
      </w:r>
      <w:proofErr w:type="spellStart"/>
      <w:r w:rsidRPr="00000BF0">
        <w:rPr>
          <w:rFonts w:ascii="Arial" w:hAnsi="Arial" w:cs="Arial"/>
          <w:color w:val="010000"/>
          <w:sz w:val="20"/>
        </w:rPr>
        <w:t>Vinacomin</w:t>
      </w:r>
      <w:proofErr w:type="spellEnd"/>
      <w:r w:rsidRPr="00000BF0">
        <w:rPr>
          <w:rFonts w:ascii="Arial" w:hAnsi="Arial" w:cs="Arial"/>
          <w:color w:val="010000"/>
          <w:sz w:val="20"/>
        </w:rPr>
        <w:t xml:space="preserve"> - Power Holding Corporation announced General Mandate No. 13/NQ-DHDCD-2024 as follows: </w:t>
      </w:r>
    </w:p>
    <w:p w14:paraId="384EF8B1" w14:textId="489D78CA" w:rsidR="00D71498" w:rsidRPr="00000BF0" w:rsidRDefault="00616A36" w:rsidP="00CF26E1">
      <w:pPr>
        <w:pBdr>
          <w:top w:val="nil"/>
          <w:left w:val="nil"/>
          <w:bottom w:val="nil"/>
          <w:right w:val="nil"/>
          <w:between w:val="nil"/>
        </w:pBdr>
        <w:tabs>
          <w:tab w:val="left" w:pos="4990"/>
        </w:tabs>
        <w:spacing w:after="120" w:line="360" w:lineRule="auto"/>
        <w:jc w:val="both"/>
        <w:rPr>
          <w:rFonts w:ascii="Arial" w:eastAsia="Arial" w:hAnsi="Arial" w:cs="Arial"/>
          <w:color w:val="010000"/>
          <w:sz w:val="20"/>
          <w:szCs w:val="20"/>
        </w:rPr>
      </w:pPr>
      <w:r w:rsidRPr="00000BF0">
        <w:rPr>
          <w:rFonts w:ascii="Arial" w:hAnsi="Arial" w:cs="Arial"/>
          <w:color w:val="010000"/>
          <w:sz w:val="20"/>
        </w:rPr>
        <w:t>Article 1: Approve the Report on production and business results in 2023</w:t>
      </w:r>
      <w:r w:rsidR="00491EE3" w:rsidRPr="00000BF0">
        <w:rPr>
          <w:rFonts w:ascii="Arial" w:hAnsi="Arial" w:cs="Arial"/>
          <w:color w:val="010000"/>
          <w:sz w:val="20"/>
        </w:rPr>
        <w:t xml:space="preserve">, </w:t>
      </w:r>
      <w:r w:rsidRPr="00000BF0">
        <w:rPr>
          <w:rFonts w:ascii="Arial" w:hAnsi="Arial" w:cs="Arial"/>
          <w:color w:val="010000"/>
          <w:sz w:val="20"/>
        </w:rPr>
        <w:t>the main targets of the production and business plan</w:t>
      </w:r>
      <w:r w:rsidR="00491EE3" w:rsidRPr="00000BF0">
        <w:rPr>
          <w:rFonts w:ascii="Arial" w:hAnsi="Arial" w:cs="Arial"/>
          <w:color w:val="010000"/>
          <w:sz w:val="20"/>
        </w:rPr>
        <w:t>,</w:t>
      </w:r>
      <w:r w:rsidRPr="00000BF0">
        <w:rPr>
          <w:rFonts w:ascii="Arial" w:hAnsi="Arial" w:cs="Arial"/>
          <w:color w:val="010000"/>
          <w:sz w:val="20"/>
        </w:rPr>
        <w:t xml:space="preserve"> and the investment and development plan for 2024 of the Corporation:</w:t>
      </w:r>
    </w:p>
    <w:p w14:paraId="5E49911A" w14:textId="615E93B2" w:rsidR="006D60B2" w:rsidRPr="00000BF0" w:rsidRDefault="00D71498" w:rsidP="00CF26E1">
      <w:pPr>
        <w:pStyle w:val="ListParagraph"/>
        <w:numPr>
          <w:ilvl w:val="1"/>
          <w:numId w:val="2"/>
        </w:numPr>
        <w:pBdr>
          <w:top w:val="nil"/>
          <w:left w:val="nil"/>
          <w:bottom w:val="nil"/>
          <w:right w:val="nil"/>
          <w:between w:val="nil"/>
        </w:pBdr>
        <w:tabs>
          <w:tab w:val="left" w:pos="720"/>
        </w:tabs>
        <w:spacing w:after="120" w:line="360" w:lineRule="auto"/>
        <w:ind w:left="0" w:firstLine="0"/>
        <w:contextualSpacing w:val="0"/>
        <w:jc w:val="both"/>
        <w:rPr>
          <w:rFonts w:ascii="Arial" w:eastAsia="Arial" w:hAnsi="Arial" w:cs="Arial"/>
          <w:color w:val="010000"/>
          <w:sz w:val="20"/>
          <w:szCs w:val="20"/>
        </w:rPr>
      </w:pPr>
      <w:r w:rsidRPr="00000BF0">
        <w:rPr>
          <w:rFonts w:ascii="Arial" w:hAnsi="Arial" w:cs="Arial"/>
          <w:color w:val="010000"/>
          <w:sz w:val="20"/>
        </w:rPr>
        <w:t>The Annual General Meeting of Shareholders approve</w:t>
      </w:r>
      <w:r w:rsidR="00491EE3" w:rsidRPr="00000BF0">
        <w:rPr>
          <w:rFonts w:ascii="Arial" w:hAnsi="Arial" w:cs="Arial"/>
          <w:color w:val="010000"/>
          <w:sz w:val="20"/>
        </w:rPr>
        <w:t>s</w:t>
      </w:r>
      <w:r w:rsidRPr="00000BF0">
        <w:rPr>
          <w:rFonts w:ascii="Arial" w:hAnsi="Arial" w:cs="Arial"/>
          <w:color w:val="010000"/>
          <w:sz w:val="20"/>
        </w:rPr>
        <w:t xml:space="preserve"> the Reports of the Board of Directors, the Supervisory Board, the Board of Leaders</w:t>
      </w:r>
      <w:r w:rsidR="00616A36" w:rsidRPr="00000BF0">
        <w:rPr>
          <w:rFonts w:ascii="Arial" w:hAnsi="Arial" w:cs="Arial"/>
          <w:color w:val="010000"/>
          <w:sz w:val="20"/>
        </w:rPr>
        <w:t>;</w:t>
      </w:r>
      <w:r w:rsidRPr="00000BF0">
        <w:rPr>
          <w:rFonts w:ascii="Arial" w:hAnsi="Arial" w:cs="Arial"/>
          <w:color w:val="010000"/>
          <w:sz w:val="20"/>
        </w:rPr>
        <w:t xml:space="preserve"> the Report on the production and business results 2023 and the main targets of the production and business plan and the investment and development plan 2024; the Corporation’s Audited Financial Statements 2023; the </w:t>
      </w:r>
      <w:r w:rsidR="00491EE3" w:rsidRPr="00000BF0">
        <w:rPr>
          <w:rFonts w:ascii="Arial" w:hAnsi="Arial" w:cs="Arial"/>
          <w:color w:val="010000"/>
          <w:sz w:val="20"/>
        </w:rPr>
        <w:t>R</w:t>
      </w:r>
      <w:r w:rsidRPr="00000BF0">
        <w:rPr>
          <w:rFonts w:ascii="Arial" w:hAnsi="Arial" w:cs="Arial"/>
          <w:color w:val="010000"/>
          <w:sz w:val="20"/>
        </w:rPr>
        <w:t xml:space="preserve">eport on the Corporation’s contracts and transactions with related enterprises and stakeholders (in 2023, including: Vietnam national coal - mineral industries holding corporation limited (TKV), </w:t>
      </w:r>
      <w:proofErr w:type="spellStart"/>
      <w:r w:rsidRPr="00000BF0">
        <w:rPr>
          <w:rFonts w:ascii="Arial" w:hAnsi="Arial" w:cs="Arial"/>
          <w:color w:val="010000"/>
          <w:sz w:val="20"/>
        </w:rPr>
        <w:t>Vinacomin</w:t>
      </w:r>
      <w:proofErr w:type="spellEnd"/>
      <w:r w:rsidRPr="00000BF0">
        <w:rPr>
          <w:rFonts w:ascii="Arial" w:hAnsi="Arial" w:cs="Arial"/>
          <w:color w:val="010000"/>
          <w:sz w:val="20"/>
        </w:rPr>
        <w:t xml:space="preserve">- </w:t>
      </w:r>
      <w:proofErr w:type="spellStart"/>
      <w:r w:rsidRPr="00000BF0">
        <w:rPr>
          <w:rFonts w:ascii="Arial" w:hAnsi="Arial" w:cs="Arial"/>
          <w:color w:val="010000"/>
          <w:sz w:val="20"/>
        </w:rPr>
        <w:t>CamPha</w:t>
      </w:r>
      <w:proofErr w:type="spellEnd"/>
      <w:r w:rsidRPr="00000BF0">
        <w:rPr>
          <w:rFonts w:ascii="Arial" w:hAnsi="Arial" w:cs="Arial"/>
          <w:color w:val="010000"/>
          <w:sz w:val="20"/>
        </w:rPr>
        <w:t xml:space="preserve"> Port and Logistics Company, Coal Import Export Joint Stock Company - </w:t>
      </w:r>
      <w:proofErr w:type="spellStart"/>
      <w:r w:rsidRPr="00000BF0">
        <w:rPr>
          <w:rFonts w:ascii="Arial" w:hAnsi="Arial" w:cs="Arial"/>
          <w:color w:val="010000"/>
          <w:sz w:val="20"/>
        </w:rPr>
        <w:t>Vinacomin</w:t>
      </w:r>
      <w:proofErr w:type="spellEnd"/>
      <w:r w:rsidRPr="00000BF0">
        <w:rPr>
          <w:rFonts w:ascii="Arial" w:hAnsi="Arial" w:cs="Arial"/>
          <w:color w:val="010000"/>
          <w:sz w:val="20"/>
        </w:rPr>
        <w:t xml:space="preserve"> (</w:t>
      </w:r>
      <w:proofErr w:type="spellStart"/>
      <w:r w:rsidRPr="00000BF0">
        <w:rPr>
          <w:rFonts w:ascii="Arial" w:hAnsi="Arial" w:cs="Arial"/>
          <w:color w:val="010000"/>
          <w:sz w:val="20"/>
        </w:rPr>
        <w:t>Coalimex</w:t>
      </w:r>
      <w:proofErr w:type="spellEnd"/>
      <w:r w:rsidRPr="00000BF0">
        <w:rPr>
          <w:rFonts w:ascii="Arial" w:hAnsi="Arial" w:cs="Arial"/>
          <w:color w:val="010000"/>
          <w:sz w:val="20"/>
        </w:rPr>
        <w:t xml:space="preserve">), </w:t>
      </w:r>
      <w:proofErr w:type="spellStart"/>
      <w:r w:rsidRPr="00000BF0">
        <w:rPr>
          <w:rFonts w:ascii="Arial" w:hAnsi="Arial" w:cs="Arial"/>
          <w:color w:val="010000"/>
          <w:sz w:val="20"/>
        </w:rPr>
        <w:t>Nong</w:t>
      </w:r>
      <w:proofErr w:type="spellEnd"/>
      <w:r w:rsidRPr="00000BF0">
        <w:rPr>
          <w:rFonts w:ascii="Arial" w:hAnsi="Arial" w:cs="Arial"/>
          <w:color w:val="010000"/>
          <w:sz w:val="20"/>
        </w:rPr>
        <w:t xml:space="preserve"> Son Coal &amp; Power Joint Stock Company - TKV. In 2024, including: </w:t>
      </w:r>
      <w:proofErr w:type="spellStart"/>
      <w:r w:rsidRPr="00000BF0">
        <w:rPr>
          <w:rFonts w:ascii="Arial" w:hAnsi="Arial" w:cs="Arial"/>
          <w:color w:val="010000"/>
          <w:sz w:val="20"/>
        </w:rPr>
        <w:t>Vinacomin</w:t>
      </w:r>
      <w:proofErr w:type="spellEnd"/>
      <w:r w:rsidRPr="00000BF0">
        <w:rPr>
          <w:rFonts w:ascii="Arial" w:hAnsi="Arial" w:cs="Arial"/>
          <w:color w:val="010000"/>
          <w:sz w:val="20"/>
        </w:rPr>
        <w:t xml:space="preserve">- </w:t>
      </w:r>
      <w:proofErr w:type="spellStart"/>
      <w:r w:rsidRPr="00000BF0">
        <w:rPr>
          <w:rFonts w:ascii="Arial" w:hAnsi="Arial" w:cs="Arial"/>
          <w:color w:val="010000"/>
          <w:sz w:val="20"/>
        </w:rPr>
        <w:t>CamPha</w:t>
      </w:r>
      <w:proofErr w:type="spellEnd"/>
      <w:r w:rsidRPr="00000BF0">
        <w:rPr>
          <w:rFonts w:ascii="Arial" w:hAnsi="Arial" w:cs="Arial"/>
          <w:color w:val="010000"/>
          <w:sz w:val="20"/>
        </w:rPr>
        <w:t xml:space="preserve"> Port and Logistics Company, </w:t>
      </w:r>
      <w:proofErr w:type="spellStart"/>
      <w:r w:rsidRPr="00000BF0">
        <w:rPr>
          <w:rFonts w:ascii="Arial" w:hAnsi="Arial" w:cs="Arial"/>
          <w:color w:val="010000"/>
          <w:sz w:val="20"/>
        </w:rPr>
        <w:t>Nong</w:t>
      </w:r>
      <w:proofErr w:type="spellEnd"/>
      <w:r w:rsidRPr="00000BF0">
        <w:rPr>
          <w:rFonts w:ascii="Arial" w:hAnsi="Arial" w:cs="Arial"/>
          <w:color w:val="010000"/>
          <w:sz w:val="20"/>
        </w:rPr>
        <w:t xml:space="preserve"> Son Coal &amp; Power Joint Stock Company - TKV); the Plan on the inspection and supervisory activities of the Corporation’s Supervisory Board in 2024 with details as follows: </w:t>
      </w:r>
    </w:p>
    <w:p w14:paraId="4750781F" w14:textId="57580378"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The production and business results in 2023 and the main targets of the production and business </w:t>
      </w:r>
      <w:r w:rsidR="00491EE3" w:rsidRPr="00000BF0">
        <w:rPr>
          <w:rFonts w:ascii="Arial" w:hAnsi="Arial" w:cs="Arial"/>
          <w:color w:val="010000"/>
          <w:sz w:val="20"/>
        </w:rPr>
        <w:t>p</w:t>
      </w:r>
      <w:r w:rsidRPr="00000BF0">
        <w:rPr>
          <w:rFonts w:ascii="Arial" w:hAnsi="Arial" w:cs="Arial"/>
          <w:color w:val="010000"/>
          <w:sz w:val="20"/>
        </w:rPr>
        <w:t xml:space="preserve">lan for 2024 (Holding </w:t>
      </w:r>
      <w:r w:rsidR="00491EE3" w:rsidRPr="00000BF0">
        <w:rPr>
          <w:rFonts w:ascii="Arial" w:hAnsi="Arial" w:cs="Arial"/>
          <w:color w:val="010000"/>
          <w:sz w:val="20"/>
        </w:rPr>
        <w:t>C</w:t>
      </w:r>
      <w:r w:rsidRPr="00000BF0">
        <w:rPr>
          <w:rFonts w:ascii="Arial" w:hAnsi="Arial" w:cs="Arial"/>
          <w:color w:val="010000"/>
          <w:sz w:val="20"/>
        </w:rPr>
        <w:t>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3616"/>
        <w:gridCol w:w="1205"/>
        <w:gridCol w:w="1174"/>
        <w:gridCol w:w="1271"/>
        <w:gridCol w:w="1167"/>
      </w:tblGrid>
      <w:tr w:rsidR="006D60B2" w:rsidRPr="00000BF0" w14:paraId="77BA64AA" w14:textId="77777777" w:rsidTr="00616A36">
        <w:tc>
          <w:tcPr>
            <w:tcW w:w="324" w:type="pct"/>
            <w:shd w:val="clear" w:color="auto" w:fill="auto"/>
            <w:tcMar>
              <w:top w:w="0" w:type="dxa"/>
              <w:bottom w:w="0" w:type="dxa"/>
            </w:tcMar>
            <w:vAlign w:val="center"/>
          </w:tcPr>
          <w:p w14:paraId="751D29C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No.</w:t>
            </w:r>
          </w:p>
        </w:tc>
        <w:tc>
          <w:tcPr>
            <w:tcW w:w="2005" w:type="pct"/>
            <w:shd w:val="clear" w:color="auto" w:fill="auto"/>
            <w:tcMar>
              <w:top w:w="0" w:type="dxa"/>
              <w:bottom w:w="0" w:type="dxa"/>
            </w:tcMar>
            <w:vAlign w:val="center"/>
          </w:tcPr>
          <w:p w14:paraId="7AD7D1E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Contents</w:t>
            </w:r>
          </w:p>
        </w:tc>
        <w:tc>
          <w:tcPr>
            <w:tcW w:w="668" w:type="pct"/>
            <w:shd w:val="clear" w:color="auto" w:fill="auto"/>
            <w:tcMar>
              <w:top w:w="0" w:type="dxa"/>
              <w:bottom w:w="0" w:type="dxa"/>
            </w:tcMar>
            <w:vAlign w:val="center"/>
          </w:tcPr>
          <w:p w14:paraId="449CE123"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Plan 2023</w:t>
            </w:r>
          </w:p>
        </w:tc>
        <w:tc>
          <w:tcPr>
            <w:tcW w:w="651" w:type="pct"/>
            <w:shd w:val="clear" w:color="auto" w:fill="auto"/>
            <w:tcMar>
              <w:top w:w="0" w:type="dxa"/>
              <w:bottom w:w="0" w:type="dxa"/>
            </w:tcMar>
            <w:vAlign w:val="center"/>
          </w:tcPr>
          <w:p w14:paraId="5175E18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Results 2023</w:t>
            </w:r>
          </w:p>
        </w:tc>
        <w:tc>
          <w:tcPr>
            <w:tcW w:w="705" w:type="pct"/>
            <w:shd w:val="clear" w:color="auto" w:fill="auto"/>
            <w:tcMar>
              <w:top w:w="0" w:type="dxa"/>
              <w:bottom w:w="0" w:type="dxa"/>
            </w:tcMar>
            <w:vAlign w:val="center"/>
          </w:tcPr>
          <w:p w14:paraId="325A659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Result/ Plan rate (%)</w:t>
            </w:r>
          </w:p>
          <w:p w14:paraId="50F73DDF" w14:textId="77777777" w:rsidR="006D60B2" w:rsidRPr="00000BF0" w:rsidRDefault="006D60B2" w:rsidP="00CF26E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47" w:type="pct"/>
            <w:shd w:val="clear" w:color="auto" w:fill="auto"/>
            <w:tcMar>
              <w:top w:w="0" w:type="dxa"/>
              <w:bottom w:w="0" w:type="dxa"/>
            </w:tcMar>
            <w:vAlign w:val="center"/>
          </w:tcPr>
          <w:p w14:paraId="380D77D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Plan 2024</w:t>
            </w:r>
          </w:p>
        </w:tc>
      </w:tr>
      <w:tr w:rsidR="006D60B2" w:rsidRPr="00000BF0" w14:paraId="5306B373" w14:textId="77777777" w:rsidTr="00616A36">
        <w:tc>
          <w:tcPr>
            <w:tcW w:w="324" w:type="pct"/>
            <w:shd w:val="clear" w:color="auto" w:fill="auto"/>
            <w:tcMar>
              <w:top w:w="0" w:type="dxa"/>
              <w:bottom w:w="0" w:type="dxa"/>
            </w:tcMar>
            <w:vAlign w:val="center"/>
          </w:tcPr>
          <w:p w14:paraId="44B4C27F"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w:t>
            </w:r>
          </w:p>
        </w:tc>
        <w:tc>
          <w:tcPr>
            <w:tcW w:w="2005" w:type="pct"/>
            <w:shd w:val="clear" w:color="auto" w:fill="auto"/>
            <w:tcMar>
              <w:top w:w="0" w:type="dxa"/>
              <w:bottom w:w="0" w:type="dxa"/>
            </w:tcMar>
            <w:vAlign w:val="center"/>
          </w:tcPr>
          <w:p w14:paraId="65965BF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Commercial power output (million kWh)</w:t>
            </w:r>
          </w:p>
        </w:tc>
        <w:tc>
          <w:tcPr>
            <w:tcW w:w="668" w:type="pct"/>
            <w:shd w:val="clear" w:color="auto" w:fill="auto"/>
            <w:tcMar>
              <w:top w:w="0" w:type="dxa"/>
              <w:bottom w:w="0" w:type="dxa"/>
            </w:tcMar>
            <w:vAlign w:val="center"/>
          </w:tcPr>
          <w:p w14:paraId="5453577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8,401</w:t>
            </w:r>
          </w:p>
        </w:tc>
        <w:tc>
          <w:tcPr>
            <w:tcW w:w="651" w:type="pct"/>
            <w:shd w:val="clear" w:color="auto" w:fill="auto"/>
            <w:tcMar>
              <w:top w:w="0" w:type="dxa"/>
              <w:bottom w:w="0" w:type="dxa"/>
            </w:tcMar>
            <w:vAlign w:val="center"/>
          </w:tcPr>
          <w:p w14:paraId="1C50562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8,309</w:t>
            </w:r>
          </w:p>
        </w:tc>
        <w:tc>
          <w:tcPr>
            <w:tcW w:w="705" w:type="pct"/>
            <w:shd w:val="clear" w:color="auto" w:fill="auto"/>
            <w:tcMar>
              <w:top w:w="0" w:type="dxa"/>
              <w:bottom w:w="0" w:type="dxa"/>
            </w:tcMar>
            <w:vAlign w:val="center"/>
          </w:tcPr>
          <w:p w14:paraId="5106577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98.90%</w:t>
            </w:r>
          </w:p>
        </w:tc>
        <w:tc>
          <w:tcPr>
            <w:tcW w:w="647" w:type="pct"/>
            <w:shd w:val="clear" w:color="auto" w:fill="auto"/>
            <w:tcMar>
              <w:top w:w="0" w:type="dxa"/>
              <w:bottom w:w="0" w:type="dxa"/>
            </w:tcMar>
            <w:vAlign w:val="center"/>
          </w:tcPr>
          <w:p w14:paraId="7B56FBC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9,196</w:t>
            </w:r>
          </w:p>
        </w:tc>
      </w:tr>
      <w:tr w:rsidR="006D60B2" w:rsidRPr="00000BF0" w14:paraId="6EFB4280" w14:textId="77777777" w:rsidTr="00616A36">
        <w:tc>
          <w:tcPr>
            <w:tcW w:w="324" w:type="pct"/>
            <w:shd w:val="clear" w:color="auto" w:fill="auto"/>
            <w:tcMar>
              <w:top w:w="0" w:type="dxa"/>
              <w:bottom w:w="0" w:type="dxa"/>
            </w:tcMar>
            <w:vAlign w:val="center"/>
          </w:tcPr>
          <w:p w14:paraId="431F23CF"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w:t>
            </w:r>
          </w:p>
        </w:tc>
        <w:tc>
          <w:tcPr>
            <w:tcW w:w="2005" w:type="pct"/>
            <w:shd w:val="clear" w:color="auto" w:fill="auto"/>
            <w:tcMar>
              <w:top w:w="0" w:type="dxa"/>
              <w:bottom w:w="0" w:type="dxa"/>
            </w:tcMar>
            <w:vAlign w:val="center"/>
          </w:tcPr>
          <w:p w14:paraId="1CAD9EA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Revenue (billion VND)</w:t>
            </w:r>
          </w:p>
        </w:tc>
        <w:tc>
          <w:tcPr>
            <w:tcW w:w="668" w:type="pct"/>
            <w:shd w:val="clear" w:color="auto" w:fill="auto"/>
            <w:tcMar>
              <w:top w:w="0" w:type="dxa"/>
              <w:bottom w:w="0" w:type="dxa"/>
            </w:tcMar>
            <w:vAlign w:val="center"/>
          </w:tcPr>
          <w:p w14:paraId="4BAC606F"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11,750</w:t>
            </w:r>
          </w:p>
        </w:tc>
        <w:tc>
          <w:tcPr>
            <w:tcW w:w="651" w:type="pct"/>
            <w:shd w:val="clear" w:color="auto" w:fill="auto"/>
            <w:tcMar>
              <w:top w:w="0" w:type="dxa"/>
              <w:bottom w:w="0" w:type="dxa"/>
            </w:tcMar>
            <w:vAlign w:val="center"/>
          </w:tcPr>
          <w:p w14:paraId="2EFC4E27"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11,947</w:t>
            </w:r>
          </w:p>
        </w:tc>
        <w:tc>
          <w:tcPr>
            <w:tcW w:w="705" w:type="pct"/>
            <w:shd w:val="clear" w:color="auto" w:fill="auto"/>
            <w:tcMar>
              <w:top w:w="0" w:type="dxa"/>
              <w:bottom w:w="0" w:type="dxa"/>
            </w:tcMar>
            <w:vAlign w:val="center"/>
          </w:tcPr>
          <w:p w14:paraId="204F011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101.68%</w:t>
            </w:r>
          </w:p>
        </w:tc>
        <w:tc>
          <w:tcPr>
            <w:tcW w:w="647" w:type="pct"/>
            <w:shd w:val="clear" w:color="auto" w:fill="auto"/>
            <w:tcMar>
              <w:top w:w="0" w:type="dxa"/>
              <w:bottom w:w="0" w:type="dxa"/>
            </w:tcMar>
            <w:vAlign w:val="center"/>
          </w:tcPr>
          <w:p w14:paraId="11EA924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13,578</w:t>
            </w:r>
          </w:p>
        </w:tc>
      </w:tr>
      <w:tr w:rsidR="006D60B2" w:rsidRPr="00000BF0" w14:paraId="4A0EF1EA" w14:textId="77777777" w:rsidTr="00616A36">
        <w:tc>
          <w:tcPr>
            <w:tcW w:w="324" w:type="pct"/>
            <w:shd w:val="clear" w:color="auto" w:fill="auto"/>
            <w:tcMar>
              <w:top w:w="0" w:type="dxa"/>
              <w:bottom w:w="0" w:type="dxa"/>
            </w:tcMar>
            <w:vAlign w:val="center"/>
          </w:tcPr>
          <w:p w14:paraId="383320F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w:t>
            </w:r>
          </w:p>
        </w:tc>
        <w:tc>
          <w:tcPr>
            <w:tcW w:w="2005" w:type="pct"/>
            <w:shd w:val="clear" w:color="auto" w:fill="auto"/>
            <w:tcMar>
              <w:top w:w="0" w:type="dxa"/>
              <w:bottom w:w="0" w:type="dxa"/>
            </w:tcMar>
            <w:vAlign w:val="center"/>
          </w:tcPr>
          <w:p w14:paraId="1C854063"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Profit before tax (billion VND)</w:t>
            </w:r>
          </w:p>
        </w:tc>
        <w:tc>
          <w:tcPr>
            <w:tcW w:w="668" w:type="pct"/>
            <w:shd w:val="clear" w:color="auto" w:fill="auto"/>
            <w:tcMar>
              <w:top w:w="0" w:type="dxa"/>
              <w:bottom w:w="0" w:type="dxa"/>
            </w:tcMar>
            <w:vAlign w:val="center"/>
          </w:tcPr>
          <w:p w14:paraId="3F03CB77"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587</w:t>
            </w:r>
          </w:p>
        </w:tc>
        <w:tc>
          <w:tcPr>
            <w:tcW w:w="651" w:type="pct"/>
            <w:shd w:val="clear" w:color="auto" w:fill="auto"/>
            <w:tcMar>
              <w:top w:w="0" w:type="dxa"/>
              <w:bottom w:w="0" w:type="dxa"/>
            </w:tcMar>
            <w:vAlign w:val="center"/>
          </w:tcPr>
          <w:p w14:paraId="0FA1623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623</w:t>
            </w:r>
          </w:p>
        </w:tc>
        <w:tc>
          <w:tcPr>
            <w:tcW w:w="705" w:type="pct"/>
            <w:shd w:val="clear" w:color="auto" w:fill="auto"/>
            <w:tcMar>
              <w:top w:w="0" w:type="dxa"/>
              <w:bottom w:w="0" w:type="dxa"/>
            </w:tcMar>
            <w:vAlign w:val="center"/>
          </w:tcPr>
          <w:p w14:paraId="3D424EA5"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106.09%</w:t>
            </w:r>
          </w:p>
        </w:tc>
        <w:tc>
          <w:tcPr>
            <w:tcW w:w="647" w:type="pct"/>
            <w:shd w:val="clear" w:color="auto" w:fill="auto"/>
            <w:tcMar>
              <w:top w:w="0" w:type="dxa"/>
              <w:bottom w:w="0" w:type="dxa"/>
            </w:tcMar>
            <w:vAlign w:val="center"/>
          </w:tcPr>
          <w:p w14:paraId="33CFE84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658</w:t>
            </w:r>
          </w:p>
        </w:tc>
      </w:tr>
      <w:tr w:rsidR="006D60B2" w:rsidRPr="00000BF0" w14:paraId="64E06B07" w14:textId="77777777" w:rsidTr="00616A36">
        <w:tc>
          <w:tcPr>
            <w:tcW w:w="324" w:type="pct"/>
            <w:shd w:val="clear" w:color="auto" w:fill="auto"/>
            <w:tcMar>
              <w:top w:w="0" w:type="dxa"/>
              <w:bottom w:w="0" w:type="dxa"/>
            </w:tcMar>
            <w:vAlign w:val="center"/>
          </w:tcPr>
          <w:p w14:paraId="3A637D1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w:t>
            </w:r>
          </w:p>
        </w:tc>
        <w:tc>
          <w:tcPr>
            <w:tcW w:w="2005" w:type="pct"/>
            <w:shd w:val="clear" w:color="auto" w:fill="auto"/>
            <w:tcMar>
              <w:top w:w="0" w:type="dxa"/>
              <w:bottom w:w="0" w:type="dxa"/>
            </w:tcMar>
            <w:vAlign w:val="center"/>
          </w:tcPr>
          <w:p w14:paraId="15C2C874" w14:textId="4C0522B9"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Construction </w:t>
            </w:r>
            <w:r w:rsidRPr="00CF26E1">
              <w:rPr>
                <w:rFonts w:ascii="Arial" w:hAnsi="Arial" w:cs="Arial"/>
                <w:color w:val="010000"/>
                <w:sz w:val="20"/>
              </w:rPr>
              <w:t>inve</w:t>
            </w:r>
            <w:r w:rsidR="00CF26E1" w:rsidRPr="00CF26E1">
              <w:rPr>
                <w:rFonts w:ascii="Arial" w:hAnsi="Arial" w:cs="Arial"/>
                <w:color w:val="010000"/>
                <w:sz w:val="20"/>
              </w:rPr>
              <w:t>s</w:t>
            </w:r>
            <w:r w:rsidRPr="00CF26E1">
              <w:rPr>
                <w:rFonts w:ascii="Arial" w:hAnsi="Arial" w:cs="Arial"/>
                <w:color w:val="010000"/>
                <w:sz w:val="20"/>
              </w:rPr>
              <w:t>tment</w:t>
            </w:r>
            <w:r w:rsidRPr="00000BF0">
              <w:rPr>
                <w:rFonts w:ascii="Arial" w:hAnsi="Arial" w:cs="Arial"/>
                <w:color w:val="010000"/>
                <w:sz w:val="20"/>
              </w:rPr>
              <w:t xml:space="preserve"> (Billion VND)</w:t>
            </w:r>
          </w:p>
        </w:tc>
        <w:tc>
          <w:tcPr>
            <w:tcW w:w="668" w:type="pct"/>
            <w:shd w:val="clear" w:color="auto" w:fill="auto"/>
            <w:tcMar>
              <w:top w:w="0" w:type="dxa"/>
              <w:bottom w:w="0" w:type="dxa"/>
            </w:tcMar>
            <w:vAlign w:val="center"/>
          </w:tcPr>
          <w:p w14:paraId="6C90CF9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178</w:t>
            </w:r>
          </w:p>
        </w:tc>
        <w:tc>
          <w:tcPr>
            <w:tcW w:w="651" w:type="pct"/>
            <w:shd w:val="clear" w:color="auto" w:fill="auto"/>
            <w:tcMar>
              <w:top w:w="0" w:type="dxa"/>
              <w:bottom w:w="0" w:type="dxa"/>
            </w:tcMar>
            <w:vAlign w:val="center"/>
          </w:tcPr>
          <w:p w14:paraId="0A79090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172</w:t>
            </w:r>
          </w:p>
        </w:tc>
        <w:tc>
          <w:tcPr>
            <w:tcW w:w="705" w:type="pct"/>
            <w:shd w:val="clear" w:color="auto" w:fill="auto"/>
            <w:tcMar>
              <w:top w:w="0" w:type="dxa"/>
              <w:bottom w:w="0" w:type="dxa"/>
            </w:tcMar>
            <w:vAlign w:val="center"/>
          </w:tcPr>
          <w:p w14:paraId="605C59D6"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96.57%</w:t>
            </w:r>
          </w:p>
        </w:tc>
        <w:tc>
          <w:tcPr>
            <w:tcW w:w="647" w:type="pct"/>
            <w:shd w:val="clear" w:color="auto" w:fill="auto"/>
            <w:tcMar>
              <w:top w:w="0" w:type="dxa"/>
              <w:bottom w:w="0" w:type="dxa"/>
            </w:tcMar>
            <w:vAlign w:val="center"/>
          </w:tcPr>
          <w:p w14:paraId="51EF5017"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502</w:t>
            </w:r>
          </w:p>
        </w:tc>
      </w:tr>
      <w:tr w:rsidR="006D60B2" w:rsidRPr="00000BF0" w14:paraId="7431542B" w14:textId="77777777" w:rsidTr="00616A36">
        <w:tc>
          <w:tcPr>
            <w:tcW w:w="324" w:type="pct"/>
            <w:shd w:val="clear" w:color="auto" w:fill="auto"/>
            <w:tcMar>
              <w:top w:w="0" w:type="dxa"/>
              <w:bottom w:w="0" w:type="dxa"/>
            </w:tcMar>
            <w:vAlign w:val="center"/>
          </w:tcPr>
          <w:p w14:paraId="1076E23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w:t>
            </w:r>
          </w:p>
        </w:tc>
        <w:tc>
          <w:tcPr>
            <w:tcW w:w="2005" w:type="pct"/>
            <w:shd w:val="clear" w:color="auto" w:fill="auto"/>
            <w:tcMar>
              <w:top w:w="0" w:type="dxa"/>
              <w:bottom w:w="0" w:type="dxa"/>
            </w:tcMar>
            <w:vAlign w:val="center"/>
          </w:tcPr>
          <w:p w14:paraId="3BD1C07C" w14:textId="77777777" w:rsidR="006D60B2" w:rsidRPr="00CF26E1" w:rsidRDefault="00616A36"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Dividend payment rate (%)</w:t>
            </w:r>
          </w:p>
        </w:tc>
        <w:tc>
          <w:tcPr>
            <w:tcW w:w="668" w:type="pct"/>
            <w:shd w:val="clear" w:color="auto" w:fill="auto"/>
            <w:tcMar>
              <w:top w:w="0" w:type="dxa"/>
              <w:bottom w:w="0" w:type="dxa"/>
            </w:tcMar>
            <w:vAlign w:val="center"/>
          </w:tcPr>
          <w:p w14:paraId="78D220B9" w14:textId="282021BB"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 xml:space="preserve">≥ </w:t>
            </w:r>
            <w:r w:rsidR="00616A36" w:rsidRPr="00CF26E1">
              <w:rPr>
                <w:rFonts w:ascii="Arial" w:hAnsi="Arial" w:cs="Arial"/>
                <w:color w:val="000000" w:themeColor="text1"/>
                <w:sz w:val="20"/>
              </w:rPr>
              <w:t>3.5%</w:t>
            </w:r>
          </w:p>
        </w:tc>
        <w:tc>
          <w:tcPr>
            <w:tcW w:w="651" w:type="pct"/>
            <w:shd w:val="clear" w:color="auto" w:fill="auto"/>
            <w:tcMar>
              <w:top w:w="0" w:type="dxa"/>
              <w:bottom w:w="0" w:type="dxa"/>
            </w:tcMar>
            <w:vAlign w:val="center"/>
          </w:tcPr>
          <w:p w14:paraId="303E4495" w14:textId="7CD428C2" w:rsidR="006D60B2" w:rsidRPr="00CF26E1" w:rsidRDefault="00616A36" w:rsidP="00CF26E1">
            <w:pPr>
              <w:pBdr>
                <w:top w:val="nil"/>
                <w:left w:val="nil"/>
                <w:bottom w:val="nil"/>
                <w:right w:val="nil"/>
                <w:between w:val="nil"/>
              </w:pBdr>
              <w:tabs>
                <w:tab w:val="left" w:pos="125"/>
                <w:tab w:val="left" w:pos="744"/>
              </w:tabs>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 xml:space="preserve"> 4%</w:t>
            </w:r>
          </w:p>
        </w:tc>
        <w:tc>
          <w:tcPr>
            <w:tcW w:w="705" w:type="pct"/>
            <w:shd w:val="clear" w:color="auto" w:fill="auto"/>
            <w:tcMar>
              <w:top w:w="0" w:type="dxa"/>
              <w:bottom w:w="0" w:type="dxa"/>
            </w:tcMar>
            <w:vAlign w:val="center"/>
          </w:tcPr>
          <w:p w14:paraId="5FD9C6D8" w14:textId="77777777" w:rsidR="006D60B2" w:rsidRPr="00CF26E1" w:rsidRDefault="00616A36"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114%</w:t>
            </w:r>
          </w:p>
        </w:tc>
        <w:tc>
          <w:tcPr>
            <w:tcW w:w="647" w:type="pct"/>
            <w:shd w:val="clear" w:color="auto" w:fill="auto"/>
            <w:tcMar>
              <w:top w:w="0" w:type="dxa"/>
              <w:bottom w:w="0" w:type="dxa"/>
            </w:tcMar>
            <w:vAlign w:val="center"/>
          </w:tcPr>
          <w:p w14:paraId="40AE2795" w14:textId="5C6E7B98"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 xml:space="preserve">≥ </w:t>
            </w:r>
            <w:r w:rsidR="00616A36" w:rsidRPr="00CF26E1">
              <w:rPr>
                <w:rFonts w:ascii="Arial" w:hAnsi="Arial" w:cs="Arial"/>
                <w:color w:val="000000" w:themeColor="text1"/>
                <w:sz w:val="20"/>
              </w:rPr>
              <w:t>3.5%</w:t>
            </w:r>
          </w:p>
        </w:tc>
      </w:tr>
    </w:tbl>
    <w:p w14:paraId="6BAAF440" w14:textId="68F97EDC" w:rsidR="006D60B2" w:rsidRPr="00000BF0" w:rsidRDefault="00616A36" w:rsidP="00CF26E1">
      <w:pPr>
        <w:pStyle w:val="ListParagraph"/>
        <w:numPr>
          <w:ilvl w:val="1"/>
          <w:numId w:val="2"/>
        </w:numPr>
        <w:pBdr>
          <w:top w:val="nil"/>
          <w:left w:val="nil"/>
          <w:bottom w:val="nil"/>
          <w:right w:val="nil"/>
          <w:between w:val="nil"/>
        </w:pBdr>
        <w:tabs>
          <w:tab w:val="left" w:pos="720"/>
        </w:tabs>
        <w:spacing w:after="120" w:line="360" w:lineRule="auto"/>
        <w:ind w:left="0" w:firstLine="0"/>
        <w:contextualSpacing w:val="0"/>
        <w:jc w:val="both"/>
        <w:rPr>
          <w:rFonts w:ascii="Arial" w:eastAsia="Arial" w:hAnsi="Arial" w:cs="Arial"/>
          <w:color w:val="010000"/>
          <w:sz w:val="20"/>
          <w:szCs w:val="20"/>
        </w:rPr>
      </w:pPr>
      <w:r w:rsidRPr="00000BF0">
        <w:rPr>
          <w:rFonts w:ascii="Arial" w:hAnsi="Arial" w:cs="Arial"/>
          <w:color w:val="010000"/>
          <w:sz w:val="20"/>
        </w:rPr>
        <w:t xml:space="preserve">The General Meeting of Shareholders authorizes the Board of Directors to direct the implementation of the production and business </w:t>
      </w:r>
      <w:r w:rsidR="00491EE3" w:rsidRPr="00000BF0">
        <w:rPr>
          <w:rFonts w:ascii="Arial" w:hAnsi="Arial" w:cs="Arial"/>
          <w:color w:val="010000"/>
          <w:sz w:val="20"/>
        </w:rPr>
        <w:t>p</w:t>
      </w:r>
      <w:r w:rsidRPr="00000BF0">
        <w:rPr>
          <w:rFonts w:ascii="Arial" w:hAnsi="Arial" w:cs="Arial"/>
          <w:color w:val="010000"/>
          <w:sz w:val="20"/>
        </w:rPr>
        <w:t xml:space="preserve">lan and the construction investment </w:t>
      </w:r>
      <w:r w:rsidR="00491EE3" w:rsidRPr="00000BF0">
        <w:rPr>
          <w:rFonts w:ascii="Arial" w:hAnsi="Arial" w:cs="Arial"/>
          <w:color w:val="010000"/>
          <w:sz w:val="20"/>
        </w:rPr>
        <w:t>p</w:t>
      </w:r>
      <w:r w:rsidRPr="00000BF0">
        <w:rPr>
          <w:rFonts w:ascii="Arial" w:hAnsi="Arial" w:cs="Arial"/>
          <w:color w:val="010000"/>
          <w:sz w:val="20"/>
        </w:rPr>
        <w:t xml:space="preserve">lan in 2024 approved by the General Meeting of Shareholders and decide on adjusting the production and business </w:t>
      </w:r>
      <w:r w:rsidR="00491EE3" w:rsidRPr="00000BF0">
        <w:rPr>
          <w:rFonts w:ascii="Arial" w:hAnsi="Arial" w:cs="Arial"/>
          <w:color w:val="010000"/>
          <w:sz w:val="20"/>
        </w:rPr>
        <w:t>p</w:t>
      </w:r>
      <w:r w:rsidRPr="00000BF0">
        <w:rPr>
          <w:rFonts w:ascii="Arial" w:hAnsi="Arial" w:cs="Arial"/>
          <w:color w:val="010000"/>
          <w:sz w:val="20"/>
        </w:rPr>
        <w:t xml:space="preserve">lan and the construction investment </w:t>
      </w:r>
      <w:r w:rsidR="00491EE3" w:rsidRPr="00000BF0">
        <w:rPr>
          <w:rFonts w:ascii="Arial" w:hAnsi="Arial" w:cs="Arial"/>
          <w:color w:val="010000"/>
          <w:sz w:val="20"/>
        </w:rPr>
        <w:t>p</w:t>
      </w:r>
      <w:r w:rsidRPr="00000BF0">
        <w:rPr>
          <w:rFonts w:ascii="Arial" w:hAnsi="Arial" w:cs="Arial"/>
          <w:color w:val="010000"/>
          <w:sz w:val="20"/>
        </w:rPr>
        <w:t>lan in 2024 if necessary, then report to shareholders at the next General Meeting.</w:t>
      </w:r>
    </w:p>
    <w:p w14:paraId="186934DD" w14:textId="4DA32651"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Article 2. Approve the profit distribution </w:t>
      </w:r>
      <w:r w:rsidR="00491EE3" w:rsidRPr="00000BF0">
        <w:rPr>
          <w:rFonts w:ascii="Arial" w:hAnsi="Arial" w:cs="Arial"/>
          <w:color w:val="010000"/>
          <w:sz w:val="20"/>
        </w:rPr>
        <w:t xml:space="preserve">plan </w:t>
      </w:r>
      <w:r w:rsidRPr="00000BF0">
        <w:rPr>
          <w:rFonts w:ascii="Arial" w:hAnsi="Arial" w:cs="Arial"/>
          <w:color w:val="010000"/>
          <w:sz w:val="20"/>
        </w:rPr>
        <w:t>in 2023 and the profit distribution plan in 2024;</w:t>
      </w:r>
    </w:p>
    <w:p w14:paraId="171DAE45" w14:textId="51A810FE"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The General Meeting of Shareholders approves the profit distribution</w:t>
      </w:r>
      <w:r w:rsidR="00491EE3" w:rsidRPr="00000BF0">
        <w:rPr>
          <w:rFonts w:ascii="Arial" w:hAnsi="Arial" w:cs="Arial"/>
          <w:color w:val="010000"/>
          <w:sz w:val="20"/>
        </w:rPr>
        <w:t xml:space="preserve"> plan</w:t>
      </w:r>
      <w:r w:rsidRPr="00000BF0">
        <w:rPr>
          <w:rFonts w:ascii="Arial" w:hAnsi="Arial" w:cs="Arial"/>
          <w:color w:val="010000"/>
          <w:sz w:val="20"/>
        </w:rPr>
        <w:t xml:space="preserve"> in 2023 and the plan </w:t>
      </w:r>
      <w:r w:rsidR="00491EE3" w:rsidRPr="00000BF0">
        <w:rPr>
          <w:rFonts w:ascii="Arial" w:hAnsi="Arial" w:cs="Arial"/>
          <w:color w:val="010000"/>
          <w:sz w:val="20"/>
        </w:rPr>
        <w:t>in</w:t>
      </w:r>
      <w:r w:rsidRPr="00000BF0">
        <w:rPr>
          <w:rFonts w:ascii="Arial" w:hAnsi="Arial" w:cs="Arial"/>
          <w:color w:val="010000"/>
          <w:sz w:val="20"/>
        </w:rPr>
        <w:t xml:space="preserve"> 2024 according to the Report of the Board of Directors at the General Meeting and authorizes the Board of Directors to implement in compliance with current regulations, with the main contents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5291"/>
        <w:gridCol w:w="3032"/>
      </w:tblGrid>
      <w:tr w:rsidR="006D60B2" w:rsidRPr="00000BF0" w14:paraId="3EC306FF" w14:textId="77777777" w:rsidTr="00616A36">
        <w:tc>
          <w:tcPr>
            <w:tcW w:w="385" w:type="pct"/>
            <w:shd w:val="clear" w:color="auto" w:fill="auto"/>
            <w:tcMar>
              <w:top w:w="0" w:type="dxa"/>
              <w:bottom w:w="0" w:type="dxa"/>
            </w:tcMar>
            <w:vAlign w:val="center"/>
          </w:tcPr>
          <w:p w14:paraId="68B3587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lastRenderedPageBreak/>
              <w:t>No.</w:t>
            </w:r>
          </w:p>
        </w:tc>
        <w:tc>
          <w:tcPr>
            <w:tcW w:w="2934" w:type="pct"/>
            <w:shd w:val="clear" w:color="auto" w:fill="auto"/>
            <w:tcMar>
              <w:top w:w="0" w:type="dxa"/>
              <w:bottom w:w="0" w:type="dxa"/>
            </w:tcMar>
            <w:vAlign w:val="center"/>
          </w:tcPr>
          <w:p w14:paraId="4354DCE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Content</w:t>
            </w:r>
          </w:p>
        </w:tc>
        <w:tc>
          <w:tcPr>
            <w:tcW w:w="1681" w:type="pct"/>
            <w:shd w:val="clear" w:color="auto" w:fill="auto"/>
            <w:tcMar>
              <w:top w:w="0" w:type="dxa"/>
              <w:bottom w:w="0" w:type="dxa"/>
            </w:tcMar>
            <w:vAlign w:val="center"/>
          </w:tcPr>
          <w:p w14:paraId="29ABCC22"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Amount (VND)</w:t>
            </w:r>
          </w:p>
        </w:tc>
      </w:tr>
      <w:tr w:rsidR="006D60B2" w:rsidRPr="00000BF0" w14:paraId="5297D847" w14:textId="77777777" w:rsidTr="00616A36">
        <w:tc>
          <w:tcPr>
            <w:tcW w:w="385" w:type="pct"/>
            <w:shd w:val="clear" w:color="auto" w:fill="auto"/>
            <w:tcMar>
              <w:top w:w="0" w:type="dxa"/>
              <w:bottom w:w="0" w:type="dxa"/>
            </w:tcMar>
            <w:vAlign w:val="center"/>
          </w:tcPr>
          <w:p w14:paraId="5AF04BE3"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w:t>
            </w:r>
          </w:p>
        </w:tc>
        <w:tc>
          <w:tcPr>
            <w:tcW w:w="2934" w:type="pct"/>
            <w:shd w:val="clear" w:color="auto" w:fill="auto"/>
            <w:tcMar>
              <w:top w:w="0" w:type="dxa"/>
              <w:bottom w:w="0" w:type="dxa"/>
            </w:tcMar>
            <w:vAlign w:val="center"/>
          </w:tcPr>
          <w:p w14:paraId="4F9C28D8" w14:textId="3F22740D"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Total accumulated undistributed profit after tax as </w:t>
            </w:r>
            <w:r w:rsidR="00491EE3" w:rsidRPr="00000BF0">
              <w:rPr>
                <w:rFonts w:ascii="Arial" w:hAnsi="Arial" w:cs="Arial"/>
                <w:color w:val="010000"/>
                <w:sz w:val="20"/>
              </w:rPr>
              <w:t>of</w:t>
            </w:r>
            <w:r w:rsidRPr="00000BF0">
              <w:rPr>
                <w:rFonts w:ascii="Arial" w:hAnsi="Arial" w:cs="Arial"/>
                <w:color w:val="010000"/>
                <w:sz w:val="20"/>
              </w:rPr>
              <w:t xml:space="preserve"> 2023- Holding </w:t>
            </w:r>
            <w:r w:rsidR="00491EE3" w:rsidRPr="00000BF0">
              <w:rPr>
                <w:rFonts w:ascii="Arial" w:hAnsi="Arial" w:cs="Arial"/>
                <w:color w:val="010000"/>
                <w:sz w:val="20"/>
              </w:rPr>
              <w:t>C</w:t>
            </w:r>
            <w:r w:rsidRPr="00000BF0">
              <w:rPr>
                <w:rFonts w:ascii="Arial" w:hAnsi="Arial" w:cs="Arial"/>
                <w:color w:val="010000"/>
                <w:sz w:val="20"/>
              </w:rPr>
              <w:t>ompany</w:t>
            </w:r>
          </w:p>
        </w:tc>
        <w:tc>
          <w:tcPr>
            <w:tcW w:w="1681" w:type="pct"/>
            <w:shd w:val="clear" w:color="auto" w:fill="auto"/>
            <w:tcMar>
              <w:top w:w="0" w:type="dxa"/>
              <w:bottom w:w="0" w:type="dxa"/>
            </w:tcMar>
            <w:vAlign w:val="center"/>
          </w:tcPr>
          <w:p w14:paraId="34D7B71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994,598,094,226</w:t>
            </w:r>
          </w:p>
        </w:tc>
      </w:tr>
      <w:tr w:rsidR="006D60B2" w:rsidRPr="00000BF0" w14:paraId="35E2DCA6" w14:textId="77777777" w:rsidTr="00616A36">
        <w:tc>
          <w:tcPr>
            <w:tcW w:w="385" w:type="pct"/>
            <w:shd w:val="clear" w:color="auto" w:fill="auto"/>
            <w:tcMar>
              <w:top w:w="0" w:type="dxa"/>
              <w:bottom w:w="0" w:type="dxa"/>
            </w:tcMar>
            <w:vAlign w:val="center"/>
          </w:tcPr>
          <w:p w14:paraId="2650FD5A" w14:textId="77777777" w:rsidR="006D60B2" w:rsidRPr="00000BF0" w:rsidRDefault="006D60B2" w:rsidP="00CF26E1">
            <w:pPr>
              <w:spacing w:after="120" w:line="360" w:lineRule="auto"/>
              <w:jc w:val="both"/>
              <w:rPr>
                <w:rFonts w:ascii="Arial" w:eastAsia="Arial" w:hAnsi="Arial" w:cs="Arial"/>
                <w:color w:val="010000"/>
                <w:sz w:val="20"/>
                <w:szCs w:val="20"/>
              </w:rPr>
            </w:pPr>
          </w:p>
        </w:tc>
        <w:tc>
          <w:tcPr>
            <w:tcW w:w="2934" w:type="pct"/>
            <w:shd w:val="clear" w:color="auto" w:fill="auto"/>
            <w:tcMar>
              <w:top w:w="0" w:type="dxa"/>
              <w:bottom w:w="0" w:type="dxa"/>
            </w:tcMar>
            <w:vAlign w:val="center"/>
          </w:tcPr>
          <w:p w14:paraId="0C142C35"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In which:</w:t>
            </w:r>
          </w:p>
        </w:tc>
        <w:tc>
          <w:tcPr>
            <w:tcW w:w="1681" w:type="pct"/>
            <w:shd w:val="clear" w:color="auto" w:fill="auto"/>
            <w:tcMar>
              <w:top w:w="0" w:type="dxa"/>
              <w:bottom w:w="0" w:type="dxa"/>
            </w:tcMar>
            <w:vAlign w:val="center"/>
          </w:tcPr>
          <w:p w14:paraId="7CF09DCE" w14:textId="77777777" w:rsidR="006D60B2" w:rsidRPr="00000BF0" w:rsidRDefault="006D60B2" w:rsidP="00CF26E1">
            <w:pPr>
              <w:spacing w:after="120" w:line="360" w:lineRule="auto"/>
              <w:jc w:val="both"/>
              <w:rPr>
                <w:rFonts w:ascii="Arial" w:eastAsia="Arial" w:hAnsi="Arial" w:cs="Arial"/>
                <w:color w:val="010000"/>
                <w:sz w:val="20"/>
                <w:szCs w:val="20"/>
              </w:rPr>
            </w:pPr>
          </w:p>
        </w:tc>
      </w:tr>
      <w:tr w:rsidR="006D60B2" w:rsidRPr="00000BF0" w14:paraId="73FC34FA" w14:textId="77777777" w:rsidTr="00616A36">
        <w:tc>
          <w:tcPr>
            <w:tcW w:w="385" w:type="pct"/>
            <w:shd w:val="clear" w:color="auto" w:fill="auto"/>
            <w:tcMar>
              <w:top w:w="0" w:type="dxa"/>
              <w:bottom w:w="0" w:type="dxa"/>
            </w:tcMar>
            <w:vAlign w:val="center"/>
          </w:tcPr>
          <w:p w14:paraId="5B37AD0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2934" w:type="pct"/>
            <w:shd w:val="clear" w:color="auto" w:fill="auto"/>
            <w:tcMar>
              <w:top w:w="0" w:type="dxa"/>
              <w:bottom w:w="0" w:type="dxa"/>
            </w:tcMar>
            <w:vAlign w:val="center"/>
          </w:tcPr>
          <w:p w14:paraId="01F61F3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Profit after tax transferred from the previous year</w:t>
            </w:r>
          </w:p>
        </w:tc>
        <w:tc>
          <w:tcPr>
            <w:tcW w:w="1681" w:type="pct"/>
            <w:shd w:val="clear" w:color="auto" w:fill="auto"/>
            <w:tcMar>
              <w:top w:w="0" w:type="dxa"/>
              <w:bottom w:w="0" w:type="dxa"/>
            </w:tcMar>
            <w:vAlign w:val="center"/>
          </w:tcPr>
          <w:p w14:paraId="5A185ED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446,648,480,497</w:t>
            </w:r>
          </w:p>
        </w:tc>
      </w:tr>
      <w:tr w:rsidR="006D60B2" w:rsidRPr="00000BF0" w14:paraId="4BF96066" w14:textId="77777777" w:rsidTr="00616A36">
        <w:tc>
          <w:tcPr>
            <w:tcW w:w="385" w:type="pct"/>
            <w:shd w:val="clear" w:color="auto" w:fill="auto"/>
            <w:tcMar>
              <w:top w:w="0" w:type="dxa"/>
              <w:bottom w:w="0" w:type="dxa"/>
            </w:tcMar>
            <w:vAlign w:val="center"/>
          </w:tcPr>
          <w:p w14:paraId="2D8952D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2934" w:type="pct"/>
            <w:shd w:val="clear" w:color="auto" w:fill="auto"/>
            <w:tcMar>
              <w:top w:w="0" w:type="dxa"/>
              <w:bottom w:w="0" w:type="dxa"/>
            </w:tcMar>
            <w:vAlign w:val="center"/>
          </w:tcPr>
          <w:p w14:paraId="083C751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Profit after tax realized in 2023</w:t>
            </w:r>
          </w:p>
        </w:tc>
        <w:tc>
          <w:tcPr>
            <w:tcW w:w="1681" w:type="pct"/>
            <w:shd w:val="clear" w:color="auto" w:fill="auto"/>
            <w:tcMar>
              <w:top w:w="0" w:type="dxa"/>
              <w:bottom w:w="0" w:type="dxa"/>
            </w:tcMar>
            <w:vAlign w:val="center"/>
          </w:tcPr>
          <w:p w14:paraId="12651C3F"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547,949,613,729</w:t>
            </w:r>
          </w:p>
        </w:tc>
      </w:tr>
      <w:tr w:rsidR="006D60B2" w:rsidRPr="00000BF0" w14:paraId="72C85E97" w14:textId="77777777" w:rsidTr="00616A36">
        <w:tc>
          <w:tcPr>
            <w:tcW w:w="385" w:type="pct"/>
            <w:shd w:val="clear" w:color="auto" w:fill="auto"/>
            <w:tcMar>
              <w:top w:w="0" w:type="dxa"/>
              <w:bottom w:w="0" w:type="dxa"/>
            </w:tcMar>
            <w:vAlign w:val="center"/>
          </w:tcPr>
          <w:p w14:paraId="38F3F5C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w:t>
            </w:r>
          </w:p>
        </w:tc>
        <w:tc>
          <w:tcPr>
            <w:tcW w:w="2934" w:type="pct"/>
            <w:shd w:val="clear" w:color="auto" w:fill="auto"/>
            <w:tcMar>
              <w:top w:w="0" w:type="dxa"/>
              <w:bottom w:w="0" w:type="dxa"/>
            </w:tcMar>
            <w:vAlign w:val="center"/>
          </w:tcPr>
          <w:p w14:paraId="0228D380" w14:textId="4ABF9194"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Total accumulated undistributed profit as </w:t>
            </w:r>
            <w:r w:rsidR="00491EE3" w:rsidRPr="00000BF0">
              <w:rPr>
                <w:rFonts w:ascii="Arial" w:hAnsi="Arial" w:cs="Arial"/>
                <w:color w:val="010000"/>
                <w:sz w:val="20"/>
              </w:rPr>
              <w:t>of</w:t>
            </w:r>
            <w:r w:rsidRPr="00000BF0">
              <w:rPr>
                <w:rFonts w:ascii="Arial" w:hAnsi="Arial" w:cs="Arial"/>
                <w:color w:val="010000"/>
                <w:sz w:val="20"/>
              </w:rPr>
              <w:t xml:space="preserve"> 2023:</w:t>
            </w:r>
          </w:p>
        </w:tc>
        <w:tc>
          <w:tcPr>
            <w:tcW w:w="1681" w:type="pct"/>
            <w:shd w:val="clear" w:color="auto" w:fill="auto"/>
            <w:tcMar>
              <w:top w:w="0" w:type="dxa"/>
              <w:bottom w:w="0" w:type="dxa"/>
            </w:tcMar>
            <w:vAlign w:val="center"/>
          </w:tcPr>
          <w:p w14:paraId="734680C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987,550,747,621</w:t>
            </w:r>
          </w:p>
        </w:tc>
      </w:tr>
      <w:tr w:rsidR="006D60B2" w:rsidRPr="00000BF0" w14:paraId="056C77F1" w14:textId="77777777" w:rsidTr="00616A36">
        <w:tc>
          <w:tcPr>
            <w:tcW w:w="385" w:type="pct"/>
            <w:shd w:val="clear" w:color="auto" w:fill="auto"/>
            <w:tcMar>
              <w:top w:w="0" w:type="dxa"/>
              <w:bottom w:w="0" w:type="dxa"/>
            </w:tcMar>
            <w:vAlign w:val="center"/>
          </w:tcPr>
          <w:p w14:paraId="0BE1AC16"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w:t>
            </w:r>
          </w:p>
        </w:tc>
        <w:tc>
          <w:tcPr>
            <w:tcW w:w="2934" w:type="pct"/>
            <w:shd w:val="clear" w:color="auto" w:fill="auto"/>
            <w:tcMar>
              <w:top w:w="0" w:type="dxa"/>
              <w:bottom w:w="0" w:type="dxa"/>
            </w:tcMar>
            <w:vAlign w:val="center"/>
          </w:tcPr>
          <w:p w14:paraId="6B938AC0"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Undistributed profit in 2023</w:t>
            </w:r>
          </w:p>
        </w:tc>
        <w:tc>
          <w:tcPr>
            <w:tcW w:w="1681" w:type="pct"/>
            <w:shd w:val="clear" w:color="auto" w:fill="auto"/>
            <w:tcMar>
              <w:top w:w="0" w:type="dxa"/>
              <w:bottom w:w="0" w:type="dxa"/>
            </w:tcMar>
            <w:vAlign w:val="center"/>
          </w:tcPr>
          <w:p w14:paraId="163EE1E3"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484,424,389,119</w:t>
            </w:r>
          </w:p>
        </w:tc>
      </w:tr>
      <w:tr w:rsidR="006D60B2" w:rsidRPr="00000BF0" w14:paraId="68AE6536" w14:textId="77777777" w:rsidTr="00616A36">
        <w:tc>
          <w:tcPr>
            <w:tcW w:w="385" w:type="pct"/>
            <w:shd w:val="clear" w:color="auto" w:fill="auto"/>
            <w:tcMar>
              <w:top w:w="0" w:type="dxa"/>
              <w:bottom w:w="0" w:type="dxa"/>
            </w:tcMar>
            <w:vAlign w:val="center"/>
          </w:tcPr>
          <w:p w14:paraId="2D420E0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3.1</w:t>
            </w:r>
          </w:p>
        </w:tc>
        <w:tc>
          <w:tcPr>
            <w:tcW w:w="2934" w:type="pct"/>
            <w:shd w:val="clear" w:color="auto" w:fill="auto"/>
            <w:tcMar>
              <w:top w:w="0" w:type="dxa"/>
              <w:bottom w:w="0" w:type="dxa"/>
            </w:tcMar>
            <w:vAlign w:val="center"/>
          </w:tcPr>
          <w:p w14:paraId="5A21D6B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Dividend payment rate</w:t>
            </w:r>
          </w:p>
        </w:tc>
        <w:tc>
          <w:tcPr>
            <w:tcW w:w="1681" w:type="pct"/>
            <w:shd w:val="clear" w:color="auto" w:fill="auto"/>
            <w:tcMar>
              <w:top w:w="0" w:type="dxa"/>
              <w:bottom w:w="0" w:type="dxa"/>
            </w:tcMar>
            <w:vAlign w:val="center"/>
          </w:tcPr>
          <w:p w14:paraId="5F37546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4.0%</w:t>
            </w:r>
          </w:p>
        </w:tc>
      </w:tr>
      <w:tr w:rsidR="006D60B2" w:rsidRPr="00000BF0" w14:paraId="7F388FE6" w14:textId="77777777" w:rsidTr="00616A36">
        <w:tc>
          <w:tcPr>
            <w:tcW w:w="385" w:type="pct"/>
            <w:shd w:val="clear" w:color="auto" w:fill="auto"/>
            <w:tcMar>
              <w:top w:w="0" w:type="dxa"/>
              <w:bottom w:w="0" w:type="dxa"/>
            </w:tcMar>
            <w:vAlign w:val="center"/>
          </w:tcPr>
          <w:p w14:paraId="056DA86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3.2</w:t>
            </w:r>
          </w:p>
        </w:tc>
        <w:tc>
          <w:tcPr>
            <w:tcW w:w="2934" w:type="pct"/>
            <w:shd w:val="clear" w:color="auto" w:fill="auto"/>
            <w:tcMar>
              <w:top w:w="0" w:type="dxa"/>
              <w:bottom w:w="0" w:type="dxa"/>
            </w:tcMar>
            <w:vAlign w:val="center"/>
          </w:tcPr>
          <w:p w14:paraId="5AE149F5"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Dividend payment</w:t>
            </w:r>
          </w:p>
        </w:tc>
        <w:tc>
          <w:tcPr>
            <w:tcW w:w="1681" w:type="pct"/>
            <w:shd w:val="clear" w:color="auto" w:fill="auto"/>
            <w:tcMar>
              <w:top w:w="0" w:type="dxa"/>
              <w:bottom w:w="0" w:type="dxa"/>
            </w:tcMar>
            <w:vAlign w:val="center"/>
          </w:tcPr>
          <w:p w14:paraId="0FDF291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273,106,990,000</w:t>
            </w:r>
          </w:p>
        </w:tc>
      </w:tr>
      <w:tr w:rsidR="006D60B2" w:rsidRPr="00000BF0" w14:paraId="1EF3CCB6" w14:textId="77777777" w:rsidTr="00616A36">
        <w:tc>
          <w:tcPr>
            <w:tcW w:w="385" w:type="pct"/>
            <w:shd w:val="clear" w:color="auto" w:fill="auto"/>
            <w:tcMar>
              <w:top w:w="0" w:type="dxa"/>
              <w:bottom w:w="0" w:type="dxa"/>
            </w:tcMar>
            <w:vAlign w:val="center"/>
          </w:tcPr>
          <w:p w14:paraId="37F5795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3.3</w:t>
            </w:r>
          </w:p>
        </w:tc>
        <w:tc>
          <w:tcPr>
            <w:tcW w:w="2934" w:type="pct"/>
            <w:shd w:val="clear" w:color="auto" w:fill="auto"/>
            <w:tcMar>
              <w:top w:w="0" w:type="dxa"/>
              <w:bottom w:w="0" w:type="dxa"/>
            </w:tcMar>
            <w:vAlign w:val="center"/>
          </w:tcPr>
          <w:p w14:paraId="5F3DED14"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Appropriation for funds</w:t>
            </w:r>
          </w:p>
        </w:tc>
        <w:tc>
          <w:tcPr>
            <w:tcW w:w="1681" w:type="pct"/>
            <w:shd w:val="clear" w:color="auto" w:fill="auto"/>
            <w:tcMar>
              <w:top w:w="0" w:type="dxa"/>
              <w:bottom w:w="0" w:type="dxa"/>
            </w:tcMar>
            <w:vAlign w:val="center"/>
          </w:tcPr>
          <w:p w14:paraId="65BD019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211,317,399,119</w:t>
            </w:r>
          </w:p>
        </w:tc>
      </w:tr>
      <w:tr w:rsidR="006D60B2" w:rsidRPr="00000BF0" w14:paraId="431E05C9" w14:textId="77777777" w:rsidTr="00616A36">
        <w:tc>
          <w:tcPr>
            <w:tcW w:w="385" w:type="pct"/>
            <w:shd w:val="clear" w:color="auto" w:fill="auto"/>
            <w:tcMar>
              <w:top w:w="0" w:type="dxa"/>
              <w:bottom w:w="0" w:type="dxa"/>
            </w:tcMar>
            <w:vAlign w:val="center"/>
          </w:tcPr>
          <w:p w14:paraId="0A013272"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2934" w:type="pct"/>
            <w:shd w:val="clear" w:color="auto" w:fill="auto"/>
            <w:tcMar>
              <w:top w:w="0" w:type="dxa"/>
              <w:bottom w:w="0" w:type="dxa"/>
            </w:tcMar>
            <w:vAlign w:val="center"/>
          </w:tcPr>
          <w:p w14:paraId="6AF8E81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Development and investment fund (30%)</w:t>
            </w:r>
          </w:p>
        </w:tc>
        <w:tc>
          <w:tcPr>
            <w:tcW w:w="1681" w:type="pct"/>
            <w:shd w:val="clear" w:color="auto" w:fill="auto"/>
            <w:tcMar>
              <w:top w:w="0" w:type="dxa"/>
              <w:bottom w:w="0" w:type="dxa"/>
            </w:tcMar>
            <w:vAlign w:val="center"/>
          </w:tcPr>
          <w:p w14:paraId="69ECF91F"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164,384,884,119</w:t>
            </w:r>
          </w:p>
        </w:tc>
      </w:tr>
      <w:tr w:rsidR="006D60B2" w:rsidRPr="00000BF0" w14:paraId="158878F5" w14:textId="77777777" w:rsidTr="00616A36">
        <w:tc>
          <w:tcPr>
            <w:tcW w:w="385" w:type="pct"/>
            <w:shd w:val="clear" w:color="auto" w:fill="auto"/>
            <w:tcMar>
              <w:top w:w="0" w:type="dxa"/>
              <w:bottom w:w="0" w:type="dxa"/>
            </w:tcMar>
            <w:vAlign w:val="center"/>
          </w:tcPr>
          <w:p w14:paraId="71D0BC98"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2934" w:type="pct"/>
            <w:shd w:val="clear" w:color="auto" w:fill="auto"/>
            <w:tcMar>
              <w:top w:w="0" w:type="dxa"/>
              <w:bottom w:w="0" w:type="dxa"/>
            </w:tcMar>
            <w:vAlign w:val="center"/>
          </w:tcPr>
          <w:p w14:paraId="6FE0057B" w14:textId="339174D7" w:rsidR="006D60B2" w:rsidRPr="00000BF0" w:rsidRDefault="00491EE3"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eastAsia="Arial" w:hAnsi="Arial" w:cs="Arial"/>
                <w:color w:val="010000"/>
                <w:sz w:val="20"/>
                <w:szCs w:val="20"/>
              </w:rPr>
              <w:t>Bonus fund for managers (0.8 of monthly salary)</w:t>
            </w:r>
          </w:p>
        </w:tc>
        <w:tc>
          <w:tcPr>
            <w:tcW w:w="1681" w:type="pct"/>
            <w:shd w:val="clear" w:color="auto" w:fill="auto"/>
            <w:tcMar>
              <w:top w:w="0" w:type="dxa"/>
              <w:bottom w:w="0" w:type="dxa"/>
            </w:tcMar>
            <w:vAlign w:val="center"/>
          </w:tcPr>
          <w:p w14:paraId="003F400A"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399,840,000</w:t>
            </w:r>
          </w:p>
        </w:tc>
      </w:tr>
      <w:tr w:rsidR="006D60B2" w:rsidRPr="00000BF0" w14:paraId="4ACAB3D8" w14:textId="77777777" w:rsidTr="00616A36">
        <w:tc>
          <w:tcPr>
            <w:tcW w:w="385" w:type="pct"/>
            <w:shd w:val="clear" w:color="auto" w:fill="auto"/>
            <w:tcMar>
              <w:top w:w="0" w:type="dxa"/>
              <w:bottom w:w="0" w:type="dxa"/>
            </w:tcMar>
            <w:vAlign w:val="center"/>
          </w:tcPr>
          <w:p w14:paraId="2F9500C2"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2934" w:type="pct"/>
            <w:shd w:val="clear" w:color="auto" w:fill="auto"/>
            <w:tcMar>
              <w:top w:w="0" w:type="dxa"/>
              <w:bottom w:w="0" w:type="dxa"/>
            </w:tcMar>
            <w:vAlign w:val="center"/>
          </w:tcPr>
          <w:p w14:paraId="024AEBB4" w14:textId="56EA4BD3"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Bonus and welfare fund (1,5</w:t>
            </w:r>
            <w:r w:rsidR="00491EE3" w:rsidRPr="00000BF0">
              <w:rPr>
                <w:rFonts w:ascii="Arial" w:hAnsi="Arial" w:cs="Arial"/>
                <w:color w:val="010000"/>
                <w:sz w:val="20"/>
              </w:rPr>
              <w:t xml:space="preserve"> of</w:t>
            </w:r>
            <w:r w:rsidRPr="00000BF0">
              <w:rPr>
                <w:rFonts w:ascii="Arial" w:hAnsi="Arial" w:cs="Arial"/>
                <w:color w:val="010000"/>
                <w:sz w:val="20"/>
              </w:rPr>
              <w:t xml:space="preserve"> monthly salary)</w:t>
            </w:r>
          </w:p>
        </w:tc>
        <w:tc>
          <w:tcPr>
            <w:tcW w:w="1681" w:type="pct"/>
            <w:shd w:val="clear" w:color="auto" w:fill="auto"/>
            <w:tcMar>
              <w:top w:w="0" w:type="dxa"/>
              <w:bottom w:w="0" w:type="dxa"/>
            </w:tcMar>
            <w:vAlign w:val="center"/>
          </w:tcPr>
          <w:p w14:paraId="0F40FA30"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46,532,675,000</w:t>
            </w:r>
          </w:p>
        </w:tc>
      </w:tr>
      <w:tr w:rsidR="006D60B2" w:rsidRPr="00000BF0" w14:paraId="666D79DB" w14:textId="77777777" w:rsidTr="00616A36">
        <w:tc>
          <w:tcPr>
            <w:tcW w:w="385" w:type="pct"/>
            <w:shd w:val="clear" w:color="auto" w:fill="auto"/>
            <w:tcMar>
              <w:top w:w="0" w:type="dxa"/>
              <w:bottom w:w="0" w:type="dxa"/>
            </w:tcMar>
            <w:vAlign w:val="center"/>
          </w:tcPr>
          <w:p w14:paraId="5D623CF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4</w:t>
            </w:r>
          </w:p>
        </w:tc>
        <w:tc>
          <w:tcPr>
            <w:tcW w:w="2934" w:type="pct"/>
            <w:shd w:val="clear" w:color="auto" w:fill="auto"/>
            <w:tcMar>
              <w:top w:w="0" w:type="dxa"/>
              <w:bottom w:w="0" w:type="dxa"/>
            </w:tcMar>
            <w:vAlign w:val="center"/>
          </w:tcPr>
          <w:p w14:paraId="1CCA6F62"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Retained profit after tax after distribution- Holding Company</w:t>
            </w:r>
          </w:p>
        </w:tc>
        <w:tc>
          <w:tcPr>
            <w:tcW w:w="1681" w:type="pct"/>
            <w:shd w:val="clear" w:color="auto" w:fill="auto"/>
            <w:tcMar>
              <w:top w:w="0" w:type="dxa"/>
              <w:bottom w:w="0" w:type="dxa"/>
            </w:tcMar>
            <w:vAlign w:val="center"/>
          </w:tcPr>
          <w:p w14:paraId="1D1FC24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510,173,705,107</w:t>
            </w:r>
          </w:p>
        </w:tc>
      </w:tr>
    </w:tbl>
    <w:p w14:paraId="2AEE7ABC" w14:textId="77777777" w:rsidR="00616A36" w:rsidRPr="00000BF0" w:rsidRDefault="00616A36" w:rsidP="00CF26E1">
      <w:pPr>
        <w:pBdr>
          <w:top w:val="nil"/>
          <w:left w:val="nil"/>
          <w:bottom w:val="nil"/>
          <w:right w:val="nil"/>
          <w:between w:val="nil"/>
        </w:pBdr>
        <w:tabs>
          <w:tab w:val="left" w:pos="718"/>
          <w:tab w:val="left" w:pos="6841"/>
        </w:tabs>
        <w:spacing w:after="120" w:line="360" w:lineRule="auto"/>
        <w:ind w:left="15"/>
        <w:jc w:val="both"/>
        <w:rPr>
          <w:rFonts w:ascii="Arial" w:hAnsi="Arial" w:cs="Arial"/>
          <w:color w:val="010000"/>
          <w:sz w:val="20"/>
        </w:rPr>
      </w:pPr>
      <w:r w:rsidRPr="00000BF0">
        <w:rPr>
          <w:rFonts w:ascii="Arial" w:hAnsi="Arial" w:cs="Arial"/>
          <w:color w:val="010000"/>
          <w:sz w:val="20"/>
        </w:rPr>
        <w:tab/>
      </w:r>
      <w:r w:rsidRPr="00000BF0">
        <w:rPr>
          <w:rFonts w:ascii="Arial" w:hAnsi="Arial" w:cs="Arial"/>
          <w:color w:val="010000"/>
          <w:sz w:val="20"/>
        </w:rPr>
        <w:tab/>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6123"/>
        <w:gridCol w:w="2191"/>
      </w:tblGrid>
      <w:tr w:rsidR="006D60B2" w:rsidRPr="00000BF0" w14:paraId="2E766960" w14:textId="77777777" w:rsidTr="00616A36">
        <w:tc>
          <w:tcPr>
            <w:tcW w:w="390" w:type="pct"/>
            <w:shd w:val="clear" w:color="auto" w:fill="auto"/>
            <w:tcMar>
              <w:top w:w="0" w:type="dxa"/>
              <w:bottom w:w="0" w:type="dxa"/>
            </w:tcMar>
            <w:vAlign w:val="center"/>
          </w:tcPr>
          <w:p w14:paraId="4A1E7B0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No.</w:t>
            </w:r>
          </w:p>
        </w:tc>
        <w:tc>
          <w:tcPr>
            <w:tcW w:w="3395" w:type="pct"/>
            <w:shd w:val="clear" w:color="auto" w:fill="auto"/>
            <w:tcMar>
              <w:top w:w="0" w:type="dxa"/>
              <w:bottom w:w="0" w:type="dxa"/>
            </w:tcMar>
            <w:vAlign w:val="center"/>
          </w:tcPr>
          <w:p w14:paraId="0E63222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Interpretation </w:t>
            </w:r>
          </w:p>
        </w:tc>
        <w:tc>
          <w:tcPr>
            <w:tcW w:w="1215" w:type="pct"/>
            <w:shd w:val="clear" w:color="auto" w:fill="auto"/>
            <w:tcMar>
              <w:top w:w="0" w:type="dxa"/>
              <w:bottom w:w="0" w:type="dxa"/>
            </w:tcMar>
            <w:vAlign w:val="center"/>
          </w:tcPr>
          <w:p w14:paraId="0C22CF46"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Amount (VND)</w:t>
            </w:r>
          </w:p>
        </w:tc>
      </w:tr>
      <w:tr w:rsidR="006D60B2" w:rsidRPr="00000BF0" w14:paraId="460BA10A" w14:textId="77777777" w:rsidTr="00616A36">
        <w:tc>
          <w:tcPr>
            <w:tcW w:w="390" w:type="pct"/>
            <w:shd w:val="clear" w:color="auto" w:fill="auto"/>
            <w:tcMar>
              <w:top w:w="0" w:type="dxa"/>
              <w:bottom w:w="0" w:type="dxa"/>
            </w:tcMar>
            <w:vAlign w:val="center"/>
          </w:tcPr>
          <w:p w14:paraId="0FB56384"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1</w:t>
            </w:r>
          </w:p>
        </w:tc>
        <w:tc>
          <w:tcPr>
            <w:tcW w:w="3395" w:type="pct"/>
            <w:shd w:val="clear" w:color="auto" w:fill="auto"/>
            <w:tcMar>
              <w:top w:w="0" w:type="dxa"/>
              <w:bottom w:w="0" w:type="dxa"/>
            </w:tcMar>
            <w:vAlign w:val="center"/>
          </w:tcPr>
          <w:p w14:paraId="3CB7780D" w14:textId="40E6C8E2"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Profit after tax of the Holding </w:t>
            </w:r>
            <w:r w:rsidR="00491EE3" w:rsidRPr="00000BF0">
              <w:rPr>
                <w:rFonts w:ascii="Arial" w:hAnsi="Arial" w:cs="Arial"/>
                <w:color w:val="010000"/>
                <w:sz w:val="20"/>
              </w:rPr>
              <w:t>C</w:t>
            </w:r>
            <w:r w:rsidRPr="00000BF0">
              <w:rPr>
                <w:rFonts w:ascii="Arial" w:hAnsi="Arial" w:cs="Arial"/>
                <w:color w:val="010000"/>
                <w:sz w:val="20"/>
              </w:rPr>
              <w:t>ompany (expected)</w:t>
            </w:r>
          </w:p>
        </w:tc>
        <w:tc>
          <w:tcPr>
            <w:tcW w:w="1215" w:type="pct"/>
            <w:shd w:val="clear" w:color="auto" w:fill="auto"/>
            <w:tcMar>
              <w:top w:w="0" w:type="dxa"/>
              <w:bottom w:w="0" w:type="dxa"/>
            </w:tcMar>
            <w:vAlign w:val="center"/>
          </w:tcPr>
          <w:p w14:paraId="65854DE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526,377,600,000</w:t>
            </w:r>
          </w:p>
        </w:tc>
      </w:tr>
      <w:tr w:rsidR="006D60B2" w:rsidRPr="00000BF0" w14:paraId="50F0E092" w14:textId="77777777" w:rsidTr="00616A36">
        <w:tc>
          <w:tcPr>
            <w:tcW w:w="390" w:type="pct"/>
            <w:shd w:val="clear" w:color="auto" w:fill="auto"/>
            <w:tcMar>
              <w:top w:w="0" w:type="dxa"/>
              <w:bottom w:w="0" w:type="dxa"/>
            </w:tcMar>
            <w:vAlign w:val="center"/>
          </w:tcPr>
          <w:p w14:paraId="472DE6F5"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w:t>
            </w:r>
          </w:p>
        </w:tc>
        <w:tc>
          <w:tcPr>
            <w:tcW w:w="3395" w:type="pct"/>
            <w:shd w:val="clear" w:color="auto" w:fill="auto"/>
            <w:tcMar>
              <w:top w:w="0" w:type="dxa"/>
              <w:bottom w:w="0" w:type="dxa"/>
            </w:tcMar>
            <w:vAlign w:val="center"/>
          </w:tcPr>
          <w:p w14:paraId="4702152D"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Plan on profit distribution of 2024</w:t>
            </w:r>
          </w:p>
        </w:tc>
        <w:tc>
          <w:tcPr>
            <w:tcW w:w="1215" w:type="pct"/>
            <w:shd w:val="clear" w:color="auto" w:fill="auto"/>
            <w:tcMar>
              <w:top w:w="0" w:type="dxa"/>
              <w:bottom w:w="0" w:type="dxa"/>
            </w:tcMar>
            <w:vAlign w:val="center"/>
          </w:tcPr>
          <w:p w14:paraId="35F346D3" w14:textId="77777777" w:rsidR="006D60B2" w:rsidRPr="00000BF0" w:rsidRDefault="006D60B2" w:rsidP="00CF26E1">
            <w:pPr>
              <w:spacing w:after="120" w:line="360" w:lineRule="auto"/>
              <w:jc w:val="both"/>
              <w:rPr>
                <w:rFonts w:ascii="Arial" w:eastAsia="Arial" w:hAnsi="Arial" w:cs="Arial"/>
                <w:color w:val="010000"/>
                <w:sz w:val="20"/>
                <w:szCs w:val="20"/>
              </w:rPr>
            </w:pPr>
          </w:p>
        </w:tc>
      </w:tr>
      <w:tr w:rsidR="006D60B2" w:rsidRPr="00000BF0" w14:paraId="74DAB769" w14:textId="77777777" w:rsidTr="00616A36">
        <w:tc>
          <w:tcPr>
            <w:tcW w:w="390" w:type="pct"/>
            <w:shd w:val="clear" w:color="auto" w:fill="auto"/>
            <w:tcMar>
              <w:top w:w="0" w:type="dxa"/>
              <w:bottom w:w="0" w:type="dxa"/>
            </w:tcMar>
            <w:vAlign w:val="center"/>
          </w:tcPr>
          <w:p w14:paraId="43E42BA9"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colFirst="2" w:colLast="2"/>
            <w:r w:rsidRPr="00000BF0">
              <w:rPr>
                <w:rFonts w:ascii="Arial" w:hAnsi="Arial" w:cs="Arial"/>
                <w:color w:val="010000"/>
                <w:sz w:val="20"/>
              </w:rPr>
              <w:t>2.1</w:t>
            </w:r>
          </w:p>
        </w:tc>
        <w:tc>
          <w:tcPr>
            <w:tcW w:w="3395" w:type="pct"/>
            <w:shd w:val="clear" w:color="auto" w:fill="auto"/>
            <w:tcMar>
              <w:top w:w="0" w:type="dxa"/>
              <w:bottom w:w="0" w:type="dxa"/>
            </w:tcMar>
            <w:vAlign w:val="center"/>
          </w:tcPr>
          <w:p w14:paraId="236BDE71"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Dividend payment rate (excluding profit retained from the previous year)</w:t>
            </w:r>
          </w:p>
        </w:tc>
        <w:tc>
          <w:tcPr>
            <w:tcW w:w="1215" w:type="pct"/>
            <w:shd w:val="clear" w:color="auto" w:fill="auto"/>
            <w:tcMar>
              <w:top w:w="0" w:type="dxa"/>
              <w:bottom w:w="0" w:type="dxa"/>
            </w:tcMar>
            <w:vAlign w:val="center"/>
          </w:tcPr>
          <w:p w14:paraId="7C416C0A" w14:textId="79AD423F"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 xml:space="preserve">≥ </w:t>
            </w:r>
            <w:r w:rsidR="00616A36" w:rsidRPr="00CF26E1">
              <w:rPr>
                <w:rFonts w:ascii="Arial" w:hAnsi="Arial" w:cs="Arial"/>
                <w:color w:val="000000" w:themeColor="text1"/>
                <w:sz w:val="20"/>
              </w:rPr>
              <w:t>3.5%</w:t>
            </w:r>
          </w:p>
        </w:tc>
      </w:tr>
      <w:tr w:rsidR="006D60B2" w:rsidRPr="00000BF0" w14:paraId="656F89AD" w14:textId="77777777" w:rsidTr="00616A36">
        <w:tc>
          <w:tcPr>
            <w:tcW w:w="390" w:type="pct"/>
            <w:shd w:val="clear" w:color="auto" w:fill="auto"/>
            <w:tcMar>
              <w:top w:w="0" w:type="dxa"/>
              <w:bottom w:w="0" w:type="dxa"/>
            </w:tcMar>
            <w:vAlign w:val="center"/>
          </w:tcPr>
          <w:p w14:paraId="05BB3A0C"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2.2</w:t>
            </w:r>
          </w:p>
        </w:tc>
        <w:tc>
          <w:tcPr>
            <w:tcW w:w="3395" w:type="pct"/>
            <w:shd w:val="clear" w:color="auto" w:fill="auto"/>
            <w:tcMar>
              <w:top w:w="0" w:type="dxa"/>
              <w:bottom w:w="0" w:type="dxa"/>
            </w:tcMar>
            <w:vAlign w:val="center"/>
          </w:tcPr>
          <w:p w14:paraId="7AAE9E6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Appropriation for funds</w:t>
            </w:r>
          </w:p>
        </w:tc>
        <w:tc>
          <w:tcPr>
            <w:tcW w:w="1215" w:type="pct"/>
            <w:shd w:val="clear" w:color="auto" w:fill="auto"/>
            <w:tcMar>
              <w:top w:w="0" w:type="dxa"/>
              <w:bottom w:w="0" w:type="dxa"/>
            </w:tcMar>
            <w:vAlign w:val="center"/>
          </w:tcPr>
          <w:p w14:paraId="18007AB1" w14:textId="77777777" w:rsidR="006D60B2" w:rsidRPr="00CF26E1" w:rsidRDefault="006D60B2" w:rsidP="00CF26E1">
            <w:pPr>
              <w:spacing w:after="120" w:line="360" w:lineRule="auto"/>
              <w:jc w:val="both"/>
              <w:rPr>
                <w:rFonts w:ascii="Arial" w:eastAsia="Arial" w:hAnsi="Arial" w:cs="Arial"/>
                <w:color w:val="000000" w:themeColor="text1"/>
                <w:sz w:val="20"/>
                <w:szCs w:val="20"/>
              </w:rPr>
            </w:pPr>
          </w:p>
        </w:tc>
      </w:tr>
      <w:tr w:rsidR="006D60B2" w:rsidRPr="00000BF0" w14:paraId="1C6B05E9" w14:textId="77777777" w:rsidTr="00616A36">
        <w:tc>
          <w:tcPr>
            <w:tcW w:w="390" w:type="pct"/>
            <w:shd w:val="clear" w:color="auto" w:fill="auto"/>
            <w:tcMar>
              <w:top w:w="0" w:type="dxa"/>
              <w:bottom w:w="0" w:type="dxa"/>
            </w:tcMar>
            <w:vAlign w:val="center"/>
          </w:tcPr>
          <w:p w14:paraId="0301A697"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3395" w:type="pct"/>
            <w:shd w:val="clear" w:color="auto" w:fill="auto"/>
            <w:tcMar>
              <w:top w:w="0" w:type="dxa"/>
              <w:bottom w:w="0" w:type="dxa"/>
            </w:tcMar>
            <w:vAlign w:val="center"/>
          </w:tcPr>
          <w:p w14:paraId="7160A22E"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Development and investment fund</w:t>
            </w:r>
          </w:p>
        </w:tc>
        <w:tc>
          <w:tcPr>
            <w:tcW w:w="1215" w:type="pct"/>
            <w:shd w:val="clear" w:color="auto" w:fill="auto"/>
            <w:tcMar>
              <w:top w:w="0" w:type="dxa"/>
              <w:bottom w:w="0" w:type="dxa"/>
            </w:tcMar>
            <w:vAlign w:val="center"/>
          </w:tcPr>
          <w:p w14:paraId="233AA8D0" w14:textId="7C295BEB"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 xml:space="preserve">≤ </w:t>
            </w:r>
            <w:r w:rsidR="00616A36" w:rsidRPr="00CF26E1">
              <w:rPr>
                <w:rFonts w:ascii="Arial" w:hAnsi="Arial" w:cs="Arial"/>
                <w:color w:val="000000" w:themeColor="text1"/>
                <w:sz w:val="20"/>
              </w:rPr>
              <w:t>30%</w:t>
            </w:r>
          </w:p>
        </w:tc>
      </w:tr>
      <w:tr w:rsidR="006D60B2" w:rsidRPr="00000BF0" w14:paraId="57AA8FE3" w14:textId="77777777" w:rsidTr="00616A36">
        <w:tc>
          <w:tcPr>
            <w:tcW w:w="390" w:type="pct"/>
            <w:shd w:val="clear" w:color="auto" w:fill="auto"/>
            <w:tcMar>
              <w:top w:w="0" w:type="dxa"/>
              <w:bottom w:w="0" w:type="dxa"/>
            </w:tcMar>
            <w:vAlign w:val="center"/>
          </w:tcPr>
          <w:p w14:paraId="50CE8706"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3395" w:type="pct"/>
            <w:shd w:val="clear" w:color="auto" w:fill="auto"/>
            <w:tcMar>
              <w:top w:w="0" w:type="dxa"/>
              <w:bottom w:w="0" w:type="dxa"/>
            </w:tcMar>
            <w:vAlign w:val="center"/>
          </w:tcPr>
          <w:p w14:paraId="1E1EC0AE" w14:textId="1463AC9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Bonus fund for </w:t>
            </w:r>
            <w:r w:rsidR="00491EE3" w:rsidRPr="00000BF0">
              <w:rPr>
                <w:rFonts w:ascii="Arial" w:hAnsi="Arial" w:cs="Arial"/>
                <w:color w:val="010000"/>
                <w:sz w:val="20"/>
              </w:rPr>
              <w:t>managers</w:t>
            </w:r>
          </w:p>
        </w:tc>
        <w:tc>
          <w:tcPr>
            <w:tcW w:w="1215" w:type="pct"/>
            <w:shd w:val="clear" w:color="auto" w:fill="auto"/>
            <w:tcMar>
              <w:top w:w="0" w:type="dxa"/>
              <w:bottom w:w="0" w:type="dxa"/>
            </w:tcMar>
            <w:vAlign w:val="center"/>
          </w:tcPr>
          <w:p w14:paraId="1CD2A256" w14:textId="7DF913A8"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w:t>
            </w:r>
            <w:r w:rsidR="00616A36" w:rsidRPr="00CF26E1">
              <w:rPr>
                <w:rFonts w:ascii="Arial" w:hAnsi="Arial" w:cs="Arial"/>
                <w:color w:val="000000" w:themeColor="text1"/>
                <w:sz w:val="20"/>
              </w:rPr>
              <w:t xml:space="preserve"> 1.5 monthly salary</w:t>
            </w:r>
          </w:p>
        </w:tc>
      </w:tr>
      <w:tr w:rsidR="006D60B2" w:rsidRPr="00000BF0" w14:paraId="3E32566B" w14:textId="77777777" w:rsidTr="00616A36">
        <w:tc>
          <w:tcPr>
            <w:tcW w:w="390" w:type="pct"/>
            <w:shd w:val="clear" w:color="auto" w:fill="auto"/>
            <w:tcMar>
              <w:top w:w="0" w:type="dxa"/>
              <w:bottom w:w="0" w:type="dxa"/>
            </w:tcMar>
            <w:vAlign w:val="center"/>
          </w:tcPr>
          <w:p w14:paraId="455EDEB7"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w:t>
            </w:r>
          </w:p>
        </w:tc>
        <w:tc>
          <w:tcPr>
            <w:tcW w:w="3395" w:type="pct"/>
            <w:shd w:val="clear" w:color="auto" w:fill="auto"/>
            <w:tcMar>
              <w:top w:w="0" w:type="dxa"/>
              <w:bottom w:w="0" w:type="dxa"/>
            </w:tcMar>
            <w:vAlign w:val="center"/>
          </w:tcPr>
          <w:p w14:paraId="6392F7DB"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Bonus and welfare fund</w:t>
            </w:r>
          </w:p>
        </w:tc>
        <w:tc>
          <w:tcPr>
            <w:tcW w:w="1215" w:type="pct"/>
            <w:shd w:val="clear" w:color="auto" w:fill="auto"/>
            <w:tcMar>
              <w:top w:w="0" w:type="dxa"/>
              <w:bottom w:w="0" w:type="dxa"/>
            </w:tcMar>
            <w:vAlign w:val="center"/>
          </w:tcPr>
          <w:p w14:paraId="183B838C" w14:textId="2E7452E7" w:rsidR="006D60B2" w:rsidRPr="00CF26E1" w:rsidRDefault="00491EE3" w:rsidP="00CF26E1">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CF26E1">
              <w:rPr>
                <w:rFonts w:ascii="Arial" w:hAnsi="Arial" w:cs="Arial"/>
                <w:color w:val="000000" w:themeColor="text1"/>
                <w:sz w:val="20"/>
              </w:rPr>
              <w:t>≤</w:t>
            </w:r>
            <w:r w:rsidR="00616A36" w:rsidRPr="00CF26E1">
              <w:rPr>
                <w:rFonts w:ascii="Arial" w:hAnsi="Arial" w:cs="Arial"/>
                <w:color w:val="000000" w:themeColor="text1"/>
                <w:sz w:val="20"/>
              </w:rPr>
              <w:t xml:space="preserve"> 3 monthly salary</w:t>
            </w:r>
          </w:p>
        </w:tc>
      </w:tr>
    </w:tbl>
    <w:bookmarkEnd w:id="0"/>
    <w:p w14:paraId="2C2A286E" w14:textId="32F3A96A"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Article 3. Approve the </w:t>
      </w:r>
      <w:r w:rsidR="00491EE3" w:rsidRPr="00000BF0">
        <w:rPr>
          <w:rFonts w:ascii="Arial" w:hAnsi="Arial" w:cs="Arial"/>
          <w:color w:val="010000"/>
          <w:sz w:val="20"/>
        </w:rPr>
        <w:t>R</w:t>
      </w:r>
      <w:r w:rsidRPr="00000BF0">
        <w:rPr>
          <w:rFonts w:ascii="Arial" w:hAnsi="Arial" w:cs="Arial"/>
          <w:color w:val="010000"/>
          <w:sz w:val="20"/>
        </w:rPr>
        <w:t>eport on the salary and remuneration settlement for the Board of Directors, the Supervisory Board, and man</w:t>
      </w:r>
      <w:r w:rsidR="00491EE3" w:rsidRPr="00000BF0">
        <w:rPr>
          <w:rFonts w:ascii="Arial" w:hAnsi="Arial" w:cs="Arial"/>
          <w:color w:val="010000"/>
          <w:sz w:val="20"/>
        </w:rPr>
        <w:t xml:space="preserve">agers </w:t>
      </w:r>
      <w:r w:rsidRPr="00000BF0">
        <w:rPr>
          <w:rFonts w:ascii="Arial" w:hAnsi="Arial" w:cs="Arial"/>
          <w:color w:val="010000"/>
          <w:sz w:val="20"/>
        </w:rPr>
        <w:t>of the Corporation in 2023 and the plan for 2024:</w:t>
      </w:r>
    </w:p>
    <w:p w14:paraId="685DCA77" w14:textId="360B2CA5"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The General Meeting of Shareholders approves the salary and remuneration </w:t>
      </w:r>
      <w:r w:rsidR="00491EE3" w:rsidRPr="00000BF0">
        <w:rPr>
          <w:rFonts w:ascii="Arial" w:hAnsi="Arial" w:cs="Arial"/>
          <w:color w:val="010000"/>
          <w:sz w:val="20"/>
        </w:rPr>
        <w:t xml:space="preserve">settlement </w:t>
      </w:r>
      <w:r w:rsidRPr="00000BF0">
        <w:rPr>
          <w:rFonts w:ascii="Arial" w:hAnsi="Arial" w:cs="Arial"/>
          <w:color w:val="010000"/>
          <w:sz w:val="20"/>
        </w:rPr>
        <w:t xml:space="preserve">for the Board of Directors, the Supervisory Board, </w:t>
      </w:r>
      <w:r w:rsidR="00491EE3" w:rsidRPr="00000BF0">
        <w:rPr>
          <w:rFonts w:ascii="Arial" w:hAnsi="Arial" w:cs="Arial"/>
          <w:color w:val="010000"/>
          <w:sz w:val="20"/>
        </w:rPr>
        <w:t xml:space="preserve">and managers </w:t>
      </w:r>
      <w:r w:rsidRPr="00000BF0">
        <w:rPr>
          <w:rFonts w:ascii="Arial" w:hAnsi="Arial" w:cs="Arial"/>
          <w:color w:val="010000"/>
          <w:sz w:val="20"/>
        </w:rPr>
        <w:t xml:space="preserve">of the Corporation in 2023 and the </w:t>
      </w:r>
      <w:r w:rsidR="00491EE3" w:rsidRPr="00000BF0">
        <w:rPr>
          <w:rFonts w:ascii="Arial" w:hAnsi="Arial" w:cs="Arial"/>
          <w:color w:val="010000"/>
          <w:sz w:val="20"/>
        </w:rPr>
        <w:t xml:space="preserve">settlement </w:t>
      </w:r>
      <w:r w:rsidRPr="00000BF0">
        <w:rPr>
          <w:rFonts w:ascii="Arial" w:hAnsi="Arial" w:cs="Arial"/>
          <w:color w:val="010000"/>
          <w:sz w:val="20"/>
        </w:rPr>
        <w:t xml:space="preserve">plan for 2024 according to the </w:t>
      </w:r>
      <w:r w:rsidR="00491EE3" w:rsidRPr="00000BF0">
        <w:rPr>
          <w:rFonts w:ascii="Arial" w:hAnsi="Arial" w:cs="Arial"/>
          <w:color w:val="010000"/>
          <w:sz w:val="20"/>
        </w:rPr>
        <w:t>R</w:t>
      </w:r>
      <w:r w:rsidRPr="00000BF0">
        <w:rPr>
          <w:rFonts w:ascii="Arial" w:hAnsi="Arial" w:cs="Arial"/>
          <w:color w:val="010000"/>
          <w:sz w:val="20"/>
        </w:rPr>
        <w:t>eport of the Board of Directors at the General Meeting and authorizes the Board of Directors to implement in compliance with current regulations.</w:t>
      </w:r>
      <w:r w:rsidR="00491EE3" w:rsidRPr="00000BF0">
        <w:rPr>
          <w:rFonts w:ascii="Arial" w:hAnsi="Arial" w:cs="Arial"/>
          <w:color w:val="010000"/>
          <w:sz w:val="20"/>
        </w:rPr>
        <w:t xml:space="preserve">  </w:t>
      </w:r>
    </w:p>
    <w:p w14:paraId="712D3482" w14:textId="77777777"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lastRenderedPageBreak/>
        <w:t>‎‎Article 4. Approve the selection of an independent audit company to audit the Financial Statements 2024:</w:t>
      </w:r>
    </w:p>
    <w:p w14:paraId="6E44540A" w14:textId="0CE208F9" w:rsidR="006D60B2" w:rsidRPr="00000BF0" w:rsidRDefault="00616A36" w:rsidP="00CF26E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The General Meeting of Shareholders approves the selection of an independent audit company to audit the Financial Statements 2024 of the Corporation according to the </w:t>
      </w:r>
      <w:r w:rsidR="00491EE3" w:rsidRPr="00000BF0">
        <w:rPr>
          <w:rFonts w:ascii="Arial" w:hAnsi="Arial" w:cs="Arial"/>
          <w:color w:val="010000"/>
          <w:sz w:val="20"/>
        </w:rPr>
        <w:t>R</w:t>
      </w:r>
      <w:r w:rsidRPr="00000BF0">
        <w:rPr>
          <w:rFonts w:ascii="Arial" w:hAnsi="Arial" w:cs="Arial"/>
          <w:color w:val="010000"/>
          <w:sz w:val="20"/>
        </w:rPr>
        <w:t>eport of the Supervisory Board at the General Meeting.</w:t>
      </w:r>
    </w:p>
    <w:p w14:paraId="4E58E45D" w14:textId="6D56A883" w:rsidR="006D60B2" w:rsidRPr="00000BF0" w:rsidRDefault="00616A36" w:rsidP="00CF26E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The General Meeting of Shareholders </w:t>
      </w:r>
      <w:r w:rsidR="00491EE3" w:rsidRPr="00000BF0">
        <w:rPr>
          <w:rFonts w:ascii="Arial" w:hAnsi="Arial" w:cs="Arial"/>
          <w:color w:val="010000"/>
          <w:sz w:val="20"/>
        </w:rPr>
        <w:t>assigns</w:t>
      </w:r>
      <w:r w:rsidRPr="00000BF0">
        <w:rPr>
          <w:rFonts w:ascii="Arial" w:hAnsi="Arial" w:cs="Arial"/>
          <w:color w:val="010000"/>
          <w:sz w:val="20"/>
        </w:rPr>
        <w:t xml:space="preserve"> the General Manager to select contractors, sign the Decision on </w:t>
      </w:r>
      <w:r w:rsidR="00491EE3" w:rsidRPr="00000BF0">
        <w:rPr>
          <w:rFonts w:ascii="Arial" w:hAnsi="Arial" w:cs="Arial"/>
          <w:color w:val="010000"/>
          <w:sz w:val="20"/>
        </w:rPr>
        <w:t>approving the</w:t>
      </w:r>
      <w:r w:rsidRPr="00000BF0">
        <w:rPr>
          <w:rFonts w:ascii="Arial" w:hAnsi="Arial" w:cs="Arial"/>
          <w:color w:val="010000"/>
          <w:sz w:val="20"/>
        </w:rPr>
        <w:t xml:space="preserve"> selection results and sign the contract on auditing the Financial Statements 2024 of the Corporation. A copy of the auditing contract after signing </w:t>
      </w:r>
      <w:r w:rsidR="00491EE3" w:rsidRPr="00000BF0">
        <w:rPr>
          <w:rFonts w:ascii="Arial" w:hAnsi="Arial" w:cs="Arial"/>
          <w:color w:val="010000"/>
          <w:sz w:val="20"/>
        </w:rPr>
        <w:t>shall be</w:t>
      </w:r>
      <w:r w:rsidRPr="00000BF0">
        <w:rPr>
          <w:rFonts w:ascii="Arial" w:hAnsi="Arial" w:cs="Arial"/>
          <w:color w:val="010000"/>
          <w:sz w:val="20"/>
        </w:rPr>
        <w:t xml:space="preserve"> transferred to the Supervisory Board to check and accelerate the implementation.</w:t>
      </w:r>
    </w:p>
    <w:p w14:paraId="433DB0CE" w14:textId="11EFC830"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Article 5. Approve the change of the Corporation’s</w:t>
      </w:r>
      <w:r w:rsidR="00491EE3" w:rsidRPr="00000BF0">
        <w:rPr>
          <w:rFonts w:ascii="Arial" w:hAnsi="Arial" w:cs="Arial"/>
          <w:color w:val="010000"/>
          <w:sz w:val="20"/>
        </w:rPr>
        <w:t xml:space="preserve"> head office, </w:t>
      </w:r>
      <w:r w:rsidRPr="00000BF0">
        <w:rPr>
          <w:rFonts w:ascii="Arial" w:hAnsi="Arial" w:cs="Arial"/>
          <w:color w:val="010000"/>
          <w:sz w:val="20"/>
        </w:rPr>
        <w:t>and the amendment and supplement of the Corporation’s Charter:</w:t>
      </w:r>
    </w:p>
    <w:p w14:paraId="30B4B3B1" w14:textId="0B335794"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The Annual General Meeting of Shareholders approves the change of the Corporation’s </w:t>
      </w:r>
      <w:r w:rsidR="00491EE3" w:rsidRPr="00000BF0">
        <w:rPr>
          <w:rFonts w:ascii="Arial" w:hAnsi="Arial" w:cs="Arial"/>
          <w:color w:val="010000"/>
          <w:sz w:val="20"/>
        </w:rPr>
        <w:t xml:space="preserve">head office, </w:t>
      </w:r>
      <w:r w:rsidRPr="00000BF0">
        <w:rPr>
          <w:rFonts w:ascii="Arial" w:hAnsi="Arial" w:cs="Arial"/>
          <w:color w:val="010000"/>
          <w:sz w:val="20"/>
        </w:rPr>
        <w:t xml:space="preserve">and the amendment and supplement of the Corporation’s Charter in accordance with the </w:t>
      </w:r>
      <w:r w:rsidR="00491EE3" w:rsidRPr="00000BF0">
        <w:rPr>
          <w:rFonts w:ascii="Arial" w:hAnsi="Arial" w:cs="Arial"/>
          <w:color w:val="010000"/>
          <w:sz w:val="20"/>
        </w:rPr>
        <w:t>R</w:t>
      </w:r>
      <w:r w:rsidRPr="00000BF0">
        <w:rPr>
          <w:rFonts w:ascii="Arial" w:hAnsi="Arial" w:cs="Arial"/>
          <w:color w:val="010000"/>
          <w:sz w:val="20"/>
        </w:rPr>
        <w:t xml:space="preserve">eport of the Board of Directors at the </w:t>
      </w:r>
      <w:r w:rsidR="00491EE3" w:rsidRPr="00000BF0">
        <w:rPr>
          <w:rFonts w:ascii="Arial" w:hAnsi="Arial" w:cs="Arial"/>
          <w:color w:val="010000"/>
          <w:sz w:val="20"/>
        </w:rPr>
        <w:t xml:space="preserve">General </w:t>
      </w:r>
      <w:r w:rsidRPr="00000BF0">
        <w:rPr>
          <w:rFonts w:ascii="Arial" w:hAnsi="Arial" w:cs="Arial"/>
          <w:color w:val="010000"/>
          <w:sz w:val="20"/>
        </w:rPr>
        <w:t xml:space="preserve">Meeting. </w:t>
      </w:r>
      <w:r w:rsidR="00491EE3" w:rsidRPr="00000BF0">
        <w:rPr>
          <w:rFonts w:ascii="Arial" w:hAnsi="Arial" w:cs="Arial"/>
          <w:color w:val="010000"/>
          <w:sz w:val="20"/>
        </w:rPr>
        <w:t xml:space="preserve"> </w:t>
      </w:r>
    </w:p>
    <w:p w14:paraId="1F5E5383" w14:textId="15B4E624"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000BF0">
        <w:rPr>
          <w:rFonts w:ascii="Arial" w:hAnsi="Arial" w:cs="Arial"/>
          <w:color w:val="010000"/>
          <w:sz w:val="20"/>
        </w:rPr>
        <w:t xml:space="preserve">At the same time, the </w:t>
      </w:r>
      <w:r w:rsidR="00491EE3" w:rsidRPr="00000BF0">
        <w:rPr>
          <w:rFonts w:ascii="Arial" w:hAnsi="Arial" w:cs="Arial"/>
          <w:color w:val="010000"/>
          <w:sz w:val="20"/>
        </w:rPr>
        <w:t xml:space="preserve">General </w:t>
      </w:r>
      <w:r w:rsidRPr="00000BF0">
        <w:rPr>
          <w:rFonts w:ascii="Arial" w:hAnsi="Arial" w:cs="Arial"/>
          <w:color w:val="010000"/>
          <w:sz w:val="20"/>
        </w:rPr>
        <w:t xml:space="preserve">Meeting authorizes the Corporation’s Board of Directors to complete all the procedures following the regulations, decide on related contents, and sign and promulgate necessary documents to complete the change of the </w:t>
      </w:r>
      <w:r w:rsidR="00000BF0" w:rsidRPr="00000BF0">
        <w:rPr>
          <w:rFonts w:ascii="Arial" w:hAnsi="Arial" w:cs="Arial"/>
          <w:color w:val="010000"/>
          <w:sz w:val="20"/>
        </w:rPr>
        <w:t xml:space="preserve">head office </w:t>
      </w:r>
      <w:r w:rsidRPr="00000BF0">
        <w:rPr>
          <w:rFonts w:ascii="Arial" w:hAnsi="Arial" w:cs="Arial"/>
          <w:color w:val="010000"/>
          <w:sz w:val="20"/>
        </w:rPr>
        <w:t xml:space="preserve">and the change in business registration of the Corporation, and update, at suitable times, the corresponding amended and supplemented contents to the Corporation’s Charter following the regulations. </w:t>
      </w:r>
    </w:p>
    <w:p w14:paraId="00B683A3" w14:textId="220C7764"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Article 6. Terms </w:t>
      </w:r>
      <w:r w:rsidR="00000BF0" w:rsidRPr="00000BF0">
        <w:rPr>
          <w:rFonts w:ascii="Arial" w:hAnsi="Arial" w:cs="Arial"/>
          <w:color w:val="010000"/>
          <w:sz w:val="20"/>
        </w:rPr>
        <w:t xml:space="preserve">of </w:t>
      </w:r>
      <w:r w:rsidRPr="00000BF0">
        <w:rPr>
          <w:rFonts w:ascii="Arial" w:hAnsi="Arial" w:cs="Arial"/>
          <w:color w:val="010000"/>
          <w:sz w:val="20"/>
        </w:rPr>
        <w:t>enforcement:</w:t>
      </w:r>
    </w:p>
    <w:p w14:paraId="74E4BCC8" w14:textId="13BA6988" w:rsidR="006D60B2" w:rsidRPr="00000BF0" w:rsidRDefault="00616A36" w:rsidP="00CF26E1">
      <w:pPr>
        <w:pBdr>
          <w:top w:val="nil"/>
          <w:left w:val="nil"/>
          <w:bottom w:val="nil"/>
          <w:right w:val="nil"/>
          <w:between w:val="nil"/>
        </w:pBdr>
        <w:spacing w:after="120" w:line="360" w:lineRule="auto"/>
        <w:jc w:val="both"/>
        <w:rPr>
          <w:rFonts w:ascii="Arial" w:eastAsia="Arial" w:hAnsi="Arial" w:cs="Arial"/>
          <w:color w:val="010000"/>
          <w:sz w:val="20"/>
          <w:szCs w:val="20"/>
        </w:rPr>
      </w:pPr>
      <w:r w:rsidRPr="00000BF0">
        <w:rPr>
          <w:rFonts w:ascii="Arial" w:hAnsi="Arial" w:cs="Arial"/>
          <w:color w:val="010000"/>
          <w:sz w:val="20"/>
        </w:rPr>
        <w:t xml:space="preserve">This General Mandate </w:t>
      </w:r>
      <w:r w:rsidR="00000BF0" w:rsidRPr="00000BF0">
        <w:rPr>
          <w:rFonts w:ascii="Arial" w:hAnsi="Arial" w:cs="Arial"/>
          <w:color w:val="010000"/>
          <w:sz w:val="20"/>
        </w:rPr>
        <w:t>is</w:t>
      </w:r>
      <w:r w:rsidRPr="00000BF0">
        <w:rPr>
          <w:rFonts w:ascii="Arial" w:hAnsi="Arial" w:cs="Arial"/>
          <w:color w:val="010000"/>
          <w:sz w:val="20"/>
        </w:rPr>
        <w:t xml:space="preserve"> approved by the Annual General Meeting of Shareholders 2024 of </w:t>
      </w:r>
      <w:proofErr w:type="spellStart"/>
      <w:r w:rsidRPr="00000BF0">
        <w:rPr>
          <w:rFonts w:ascii="Arial" w:hAnsi="Arial" w:cs="Arial"/>
          <w:color w:val="010000"/>
          <w:sz w:val="20"/>
        </w:rPr>
        <w:t>Vinacomin</w:t>
      </w:r>
      <w:proofErr w:type="spellEnd"/>
      <w:r w:rsidRPr="00000BF0">
        <w:rPr>
          <w:rFonts w:ascii="Arial" w:hAnsi="Arial" w:cs="Arial"/>
          <w:color w:val="010000"/>
          <w:sz w:val="20"/>
        </w:rPr>
        <w:t xml:space="preserve"> - Power Holding Corporation on April 24, 2024 and takes effect from the date of its approval./.</w:t>
      </w:r>
    </w:p>
    <w:sectPr w:rsidR="006D60B2" w:rsidRPr="00000BF0" w:rsidSect="004E69C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5FA5"/>
    <w:multiLevelType w:val="multilevel"/>
    <w:tmpl w:val="BCA0E24E"/>
    <w:lvl w:ilvl="0">
      <w:start w:val="1"/>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452294"/>
    <w:multiLevelType w:val="multilevel"/>
    <w:tmpl w:val="95FED5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B2"/>
    <w:rsid w:val="00000BF0"/>
    <w:rsid w:val="00491EE3"/>
    <w:rsid w:val="004E69C7"/>
    <w:rsid w:val="00616A36"/>
    <w:rsid w:val="006D60B2"/>
    <w:rsid w:val="00CF26E1"/>
    <w:rsid w:val="00D7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B6575"/>
  <w15:docId w15:val="{1DD270E0-BF1F-4F5B-8780-AD99D352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5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ind w:firstLine="7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7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3GabFIFSn1VWbOSdpmciUV7YAA==">CgMxLjAyCGguZ2pkZ3hzOAByITExc2w0U2h5OThvV1NHcjBjeHVmZWttcnkxdkdGMVMyTg==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2024-05-03T02:52:00Z</dcterms:created>
  <dcterms:modified xsi:type="dcterms:W3CDTF">2024-05-04T03:19:00Z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26fec92a89179e1f2fb5277aa25ecb9083ec0fe845c27f01ef12524af6d4dc04</vt:lpwstr>
  </property>
</Properties>
</file>