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CD" w:rsidRPr="00462B4E" w:rsidRDefault="00462B4E" w:rsidP="000E3E3F">
      <w:pPr>
        <w:pBdr>
          <w:top w:val="nil"/>
          <w:left w:val="nil"/>
          <w:bottom w:val="nil"/>
          <w:right w:val="nil"/>
          <w:between w:val="nil"/>
        </w:pBdr>
        <w:tabs>
          <w:tab w:val="left" w:pos="450"/>
        </w:tabs>
        <w:spacing w:after="120" w:line="360" w:lineRule="auto"/>
        <w:jc w:val="both"/>
        <w:rPr>
          <w:rFonts w:ascii="Arial" w:eastAsia="Arial" w:hAnsi="Arial" w:cs="Arial"/>
          <w:b/>
          <w:sz w:val="20"/>
          <w:szCs w:val="20"/>
        </w:rPr>
      </w:pPr>
      <w:r>
        <w:rPr>
          <w:rFonts w:ascii="Arial" w:hAnsi="Arial"/>
          <w:b/>
          <w:sz w:val="20"/>
        </w:rPr>
        <w:t>EBS: Annual General Mandate 2024</w:t>
      </w:r>
    </w:p>
    <w:p w:rsidR="00892ECD" w:rsidRPr="00462B4E" w:rsidRDefault="00462B4E" w:rsidP="000E3E3F">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On April 24, 2024, Educational Book JSC in Hanoi City announced General Mandate No. 01/SGDHN as follows:</w:t>
      </w:r>
    </w:p>
    <w:p w:rsidR="00892ECD" w:rsidRPr="00462B4E" w:rsidRDefault="00462B4E" w:rsidP="000E3E3F">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‎‎Article 1. Approve the Reports of the Meeting:</w:t>
      </w:r>
    </w:p>
    <w:p w:rsidR="00892ECD" w:rsidRPr="00462B4E" w:rsidRDefault="00462B4E" w:rsidP="000E3E3F">
      <w:pPr>
        <w:numPr>
          <w:ilvl w:val="0"/>
          <w:numId w:val="3"/>
        </w:numPr>
        <w:pBdr>
          <w:top w:val="nil"/>
          <w:left w:val="nil"/>
          <w:bottom w:val="nil"/>
          <w:right w:val="nil"/>
          <w:between w:val="nil"/>
        </w:pBdr>
        <w:tabs>
          <w:tab w:val="left" w:pos="450"/>
          <w:tab w:val="left" w:pos="768"/>
        </w:tabs>
        <w:spacing w:after="120" w:line="360" w:lineRule="auto"/>
        <w:jc w:val="both"/>
        <w:rPr>
          <w:rFonts w:ascii="Arial" w:eastAsia="Arial" w:hAnsi="Arial" w:cs="Arial"/>
          <w:sz w:val="20"/>
          <w:szCs w:val="20"/>
        </w:rPr>
      </w:pPr>
      <w:r>
        <w:rPr>
          <w:rFonts w:ascii="Arial" w:hAnsi="Arial"/>
          <w:sz w:val="20"/>
        </w:rPr>
        <w:t>Report of the Board of Directors.</w:t>
      </w:r>
    </w:p>
    <w:p w:rsidR="00892ECD" w:rsidRPr="00462B4E" w:rsidRDefault="00462B4E" w:rsidP="000E3E3F">
      <w:pPr>
        <w:numPr>
          <w:ilvl w:val="0"/>
          <w:numId w:val="3"/>
        </w:numPr>
        <w:pBdr>
          <w:top w:val="nil"/>
          <w:left w:val="nil"/>
          <w:bottom w:val="nil"/>
          <w:right w:val="nil"/>
          <w:between w:val="nil"/>
        </w:pBdr>
        <w:tabs>
          <w:tab w:val="left" w:pos="450"/>
          <w:tab w:val="left" w:pos="768"/>
        </w:tabs>
        <w:spacing w:after="120" w:line="360" w:lineRule="auto"/>
        <w:jc w:val="both"/>
        <w:rPr>
          <w:rFonts w:ascii="Arial" w:eastAsia="Arial" w:hAnsi="Arial" w:cs="Arial"/>
          <w:sz w:val="20"/>
          <w:szCs w:val="20"/>
        </w:rPr>
      </w:pPr>
      <w:r>
        <w:rPr>
          <w:rFonts w:ascii="Arial" w:hAnsi="Arial"/>
          <w:sz w:val="20"/>
        </w:rPr>
        <w:t>Report of the Board of Management;</w:t>
      </w:r>
    </w:p>
    <w:p w:rsidR="00892ECD" w:rsidRPr="00462B4E" w:rsidRDefault="00462B4E" w:rsidP="000E3E3F">
      <w:pPr>
        <w:numPr>
          <w:ilvl w:val="0"/>
          <w:numId w:val="3"/>
        </w:numPr>
        <w:pBdr>
          <w:top w:val="nil"/>
          <w:left w:val="nil"/>
          <w:bottom w:val="nil"/>
          <w:right w:val="nil"/>
          <w:between w:val="nil"/>
        </w:pBdr>
        <w:tabs>
          <w:tab w:val="left" w:pos="450"/>
          <w:tab w:val="left" w:pos="768"/>
        </w:tabs>
        <w:spacing w:after="120" w:line="360" w:lineRule="auto"/>
        <w:jc w:val="both"/>
        <w:rPr>
          <w:rFonts w:ascii="Arial" w:eastAsia="Arial" w:hAnsi="Arial" w:cs="Arial"/>
          <w:sz w:val="20"/>
          <w:szCs w:val="20"/>
        </w:rPr>
      </w:pPr>
      <w:r>
        <w:rPr>
          <w:rFonts w:ascii="Arial" w:hAnsi="Arial"/>
          <w:sz w:val="20"/>
        </w:rPr>
        <w:t>Report on activities of the Supervisory Board.</w:t>
      </w:r>
    </w:p>
    <w:p w:rsidR="00892ECD" w:rsidRPr="00462B4E" w:rsidRDefault="00462B4E" w:rsidP="000E3E3F">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‎‎Article 2. Approve the Financial Statements, the revenue and profit distribution in 2023 audited by AAC Auditing And Accounting Company, the profit distribution and salary unit price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0"/>
        <w:gridCol w:w="4438"/>
        <w:gridCol w:w="2245"/>
        <w:gridCol w:w="1533"/>
      </w:tblGrid>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No.</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Target</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Results 2023 (the Holding Company)</w:t>
            </w:r>
          </w:p>
        </w:tc>
        <w:tc>
          <w:tcPr>
            <w:tcW w:w="850"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Results 2023 (Consolidated)</w:t>
            </w: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1</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Total revenue (net revenue, financial revenue, other income)</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77,641,755,410</w:t>
            </w:r>
          </w:p>
        </w:tc>
        <w:tc>
          <w:tcPr>
            <w:tcW w:w="850"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87,550,092,401</w:t>
            </w: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2</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Profit before tax</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9,893,527,877</w:t>
            </w:r>
          </w:p>
        </w:tc>
        <w:tc>
          <w:tcPr>
            <w:tcW w:w="850"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14,804,501,183</w:t>
            </w: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3</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Profit after corporate income tax</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8,174,423,850</w:t>
            </w:r>
          </w:p>
        </w:tc>
        <w:tc>
          <w:tcPr>
            <w:tcW w:w="850"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13,086,250,472</w:t>
            </w: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4</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Dividend rate</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8%</w:t>
            </w:r>
          </w:p>
        </w:tc>
        <w:tc>
          <w:tcPr>
            <w:tcW w:w="850" w:type="pct"/>
            <w:shd w:val="clear" w:color="auto" w:fill="auto"/>
            <w:tcMar>
              <w:top w:w="0" w:type="dxa"/>
              <w:bottom w:w="0" w:type="dxa"/>
            </w:tcMar>
            <w:vAlign w:val="center"/>
          </w:tcPr>
          <w:p w:rsidR="00892ECD" w:rsidRPr="00462B4E" w:rsidRDefault="00892ECD"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p>
        </w:tc>
      </w:tr>
      <w:tr w:rsidR="00892ECD" w:rsidRPr="00462B4E" w:rsidTr="00462B4E">
        <w:tc>
          <w:tcPr>
            <w:tcW w:w="444" w:type="pct"/>
            <w:shd w:val="clear" w:color="auto" w:fill="auto"/>
            <w:tcMar>
              <w:top w:w="0" w:type="dxa"/>
              <w:bottom w:w="0" w:type="dxa"/>
            </w:tcMar>
            <w:vAlign w:val="center"/>
          </w:tcPr>
          <w:p w:rsidR="00892ECD" w:rsidRPr="00462B4E" w:rsidRDefault="00892ECD"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Dividend payment amount:</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7,972,467,200</w:t>
            </w:r>
          </w:p>
        </w:tc>
        <w:tc>
          <w:tcPr>
            <w:tcW w:w="850" w:type="pct"/>
            <w:shd w:val="clear" w:color="auto" w:fill="auto"/>
            <w:tcMar>
              <w:top w:w="0" w:type="dxa"/>
              <w:bottom w:w="0" w:type="dxa"/>
            </w:tcMar>
            <w:vAlign w:val="center"/>
          </w:tcPr>
          <w:p w:rsidR="00892ECD" w:rsidRPr="00462B4E" w:rsidRDefault="00892ECD"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5</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Remaining profit</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201,956,650</w:t>
            </w:r>
          </w:p>
        </w:tc>
        <w:tc>
          <w:tcPr>
            <w:tcW w:w="850" w:type="pct"/>
            <w:shd w:val="clear" w:color="auto" w:fill="auto"/>
            <w:tcMar>
              <w:top w:w="0" w:type="dxa"/>
              <w:bottom w:w="0" w:type="dxa"/>
            </w:tcMar>
            <w:vAlign w:val="center"/>
          </w:tcPr>
          <w:p w:rsidR="00892ECD" w:rsidRPr="00462B4E" w:rsidRDefault="00892ECD"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6</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Appropriation for funds:</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201,956,650</w:t>
            </w:r>
          </w:p>
        </w:tc>
        <w:tc>
          <w:tcPr>
            <w:tcW w:w="850" w:type="pct"/>
            <w:shd w:val="clear" w:color="auto" w:fill="auto"/>
            <w:tcMar>
              <w:top w:w="0" w:type="dxa"/>
              <w:bottom w:w="0" w:type="dxa"/>
            </w:tcMar>
            <w:vAlign w:val="center"/>
          </w:tcPr>
          <w:p w:rsidR="00892ECD" w:rsidRPr="00462B4E" w:rsidRDefault="00892ECD"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6.1</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Bonus fund for the Executive Board.</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67,318,883</w:t>
            </w:r>
          </w:p>
        </w:tc>
        <w:tc>
          <w:tcPr>
            <w:tcW w:w="850" w:type="pct"/>
            <w:shd w:val="clear" w:color="auto" w:fill="auto"/>
            <w:tcMar>
              <w:top w:w="0" w:type="dxa"/>
              <w:bottom w:w="0" w:type="dxa"/>
            </w:tcMar>
            <w:vAlign w:val="center"/>
          </w:tcPr>
          <w:p w:rsidR="00892ECD" w:rsidRPr="00462B4E" w:rsidRDefault="00892ECD"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6.2</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Bonus and welfare fund</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67,318,883</w:t>
            </w:r>
          </w:p>
        </w:tc>
        <w:tc>
          <w:tcPr>
            <w:tcW w:w="850" w:type="pct"/>
            <w:shd w:val="clear" w:color="auto" w:fill="auto"/>
            <w:tcMar>
              <w:top w:w="0" w:type="dxa"/>
              <w:bottom w:w="0" w:type="dxa"/>
            </w:tcMar>
            <w:vAlign w:val="center"/>
          </w:tcPr>
          <w:p w:rsidR="00892ECD" w:rsidRPr="00462B4E" w:rsidRDefault="00892ECD"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6.3</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Investment and development fund.</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67,318,884</w:t>
            </w:r>
          </w:p>
        </w:tc>
        <w:tc>
          <w:tcPr>
            <w:tcW w:w="850" w:type="pct"/>
            <w:shd w:val="clear" w:color="auto" w:fill="auto"/>
            <w:tcMar>
              <w:top w:w="0" w:type="dxa"/>
              <w:bottom w:w="0" w:type="dxa"/>
            </w:tcMar>
            <w:vAlign w:val="center"/>
          </w:tcPr>
          <w:p w:rsidR="00892ECD" w:rsidRPr="00462B4E" w:rsidRDefault="00892ECD"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p>
        </w:tc>
      </w:tr>
      <w:tr w:rsidR="00892ECD" w:rsidRPr="00462B4E" w:rsidTr="00462B4E">
        <w:tc>
          <w:tcPr>
            <w:tcW w:w="44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7</w:t>
            </w:r>
          </w:p>
        </w:tc>
        <w:tc>
          <w:tcPr>
            <w:tcW w:w="2461"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Actual salary unit price</w:t>
            </w:r>
          </w:p>
        </w:tc>
        <w:tc>
          <w:tcPr>
            <w:tcW w:w="124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VND 731 salary / VND 1,000 Profit before tax</w:t>
            </w:r>
          </w:p>
        </w:tc>
        <w:tc>
          <w:tcPr>
            <w:tcW w:w="850" w:type="pct"/>
            <w:shd w:val="clear" w:color="auto" w:fill="auto"/>
            <w:tcMar>
              <w:top w:w="0" w:type="dxa"/>
              <w:bottom w:w="0" w:type="dxa"/>
            </w:tcMar>
            <w:vAlign w:val="center"/>
          </w:tcPr>
          <w:p w:rsidR="00892ECD" w:rsidRPr="00462B4E" w:rsidRDefault="00892ECD"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p>
        </w:tc>
      </w:tr>
    </w:tbl>
    <w:p w:rsidR="00892ECD" w:rsidRPr="00462B4E" w:rsidRDefault="00462B4E" w:rsidP="00462B4E">
      <w:pPr>
        <w:tabs>
          <w:tab w:val="left" w:pos="450"/>
        </w:tabs>
        <w:spacing w:after="120" w:line="360" w:lineRule="auto"/>
        <w:rPr>
          <w:rFonts w:ascii="Arial" w:eastAsia="Arial" w:hAnsi="Arial" w:cs="Arial"/>
          <w:sz w:val="20"/>
          <w:szCs w:val="20"/>
        </w:rPr>
      </w:pPr>
      <w:r>
        <w:rPr>
          <w:rFonts w:ascii="Arial" w:hAnsi="Arial"/>
          <w:sz w:val="20"/>
        </w:rPr>
        <w:t>‎‎Article 3. Approve the production and business plan and salary unit price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4"/>
        <w:gridCol w:w="4591"/>
        <w:gridCol w:w="3711"/>
      </w:tblGrid>
      <w:tr w:rsidR="00892ECD" w:rsidRPr="00462B4E" w:rsidTr="00462B4E">
        <w:tc>
          <w:tcPr>
            <w:tcW w:w="396"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No.</w:t>
            </w:r>
          </w:p>
        </w:tc>
        <w:tc>
          <w:tcPr>
            <w:tcW w:w="2545"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Target</w:t>
            </w:r>
          </w:p>
        </w:tc>
        <w:tc>
          <w:tcPr>
            <w:tcW w:w="2058"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2024</w:t>
            </w:r>
          </w:p>
        </w:tc>
      </w:tr>
      <w:tr w:rsidR="00892ECD" w:rsidRPr="00462B4E" w:rsidTr="00462B4E">
        <w:tc>
          <w:tcPr>
            <w:tcW w:w="396"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1</w:t>
            </w:r>
          </w:p>
        </w:tc>
        <w:tc>
          <w:tcPr>
            <w:tcW w:w="2545"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Total revenue (net revenue, financial revenue, other income)</w:t>
            </w:r>
          </w:p>
        </w:tc>
        <w:tc>
          <w:tcPr>
            <w:tcW w:w="2058"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 xml:space="preserve">minimum VND 82.1 billion </w:t>
            </w:r>
          </w:p>
        </w:tc>
      </w:tr>
      <w:tr w:rsidR="00892ECD" w:rsidRPr="00462B4E" w:rsidTr="00462B4E">
        <w:tc>
          <w:tcPr>
            <w:tcW w:w="396"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2</w:t>
            </w:r>
          </w:p>
        </w:tc>
        <w:tc>
          <w:tcPr>
            <w:tcW w:w="2545"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Profit before tax</w:t>
            </w:r>
          </w:p>
        </w:tc>
        <w:tc>
          <w:tcPr>
            <w:tcW w:w="2058"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minimum VND 10.5 billion</w:t>
            </w:r>
          </w:p>
        </w:tc>
      </w:tr>
      <w:tr w:rsidR="00892ECD" w:rsidRPr="00462B4E" w:rsidTr="00462B4E">
        <w:tc>
          <w:tcPr>
            <w:tcW w:w="396"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3</w:t>
            </w:r>
          </w:p>
        </w:tc>
        <w:tc>
          <w:tcPr>
            <w:tcW w:w="2545"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Profit margin (Profit before tax / Charter capital)</w:t>
            </w:r>
          </w:p>
        </w:tc>
        <w:tc>
          <w:tcPr>
            <w:tcW w:w="2058"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minimum 10.3%</w:t>
            </w:r>
          </w:p>
        </w:tc>
      </w:tr>
      <w:tr w:rsidR="00892ECD" w:rsidRPr="00462B4E" w:rsidTr="00462B4E">
        <w:tc>
          <w:tcPr>
            <w:tcW w:w="396"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4</w:t>
            </w:r>
          </w:p>
        </w:tc>
        <w:tc>
          <w:tcPr>
            <w:tcW w:w="2545"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 xml:space="preserve">Expected dividend (percentage of par value of VND </w:t>
            </w:r>
            <w:r>
              <w:rPr>
                <w:rFonts w:ascii="Arial" w:hAnsi="Arial"/>
                <w:sz w:val="20"/>
              </w:rPr>
              <w:lastRenderedPageBreak/>
              <w:t>10,000)</w:t>
            </w:r>
          </w:p>
        </w:tc>
        <w:tc>
          <w:tcPr>
            <w:tcW w:w="2058"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lastRenderedPageBreak/>
              <w:t>minimum 8.5%</w:t>
            </w:r>
          </w:p>
        </w:tc>
      </w:tr>
      <w:tr w:rsidR="00892ECD" w:rsidRPr="00462B4E" w:rsidTr="00462B4E">
        <w:tc>
          <w:tcPr>
            <w:tcW w:w="396"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lastRenderedPageBreak/>
              <w:t>5</w:t>
            </w:r>
          </w:p>
        </w:tc>
        <w:tc>
          <w:tcPr>
            <w:tcW w:w="2545"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Salary unit price</w:t>
            </w:r>
          </w:p>
        </w:tc>
        <w:tc>
          <w:tcPr>
            <w:tcW w:w="2058" w:type="pct"/>
            <w:shd w:val="clear" w:color="auto" w:fill="auto"/>
            <w:tcMar>
              <w:top w:w="0" w:type="dxa"/>
              <w:bottom w:w="0" w:type="dxa"/>
            </w:tcMar>
            <w:vAlign w:val="center"/>
          </w:tcPr>
          <w:p w:rsidR="00892ECD" w:rsidRPr="00462B4E" w:rsidRDefault="00462B4E" w:rsidP="00462B4E">
            <w:pPr>
              <w:tabs>
                <w:tab w:val="left" w:pos="450"/>
              </w:tabs>
              <w:spacing w:after="120" w:line="360" w:lineRule="auto"/>
              <w:jc w:val="center"/>
              <w:rPr>
                <w:rFonts w:ascii="Arial" w:eastAsia="Arial" w:hAnsi="Arial" w:cs="Arial"/>
                <w:sz w:val="20"/>
                <w:szCs w:val="20"/>
              </w:rPr>
            </w:pPr>
            <w:r>
              <w:rPr>
                <w:rFonts w:ascii="Arial" w:hAnsi="Arial"/>
                <w:sz w:val="20"/>
              </w:rPr>
              <w:t>VND 1,124 salary /VND  1,000 Profit before tax</w:t>
            </w:r>
          </w:p>
        </w:tc>
      </w:tr>
    </w:tbl>
    <w:p w:rsidR="00892ECD" w:rsidRPr="00462B4E" w:rsidRDefault="00462B4E" w:rsidP="00A309B6">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‎‎Article 4. Approve authorizing the Board of Directors to invest in potential projects and companies to promote the efficient use of the company's capital. Facing difficulties of inflation and high input costs, the Company's Executive Board seeks the opinion to authorize the Board of Directors to adjust the business and production plan 2024 and salary unit price in September 2024.</w:t>
      </w:r>
    </w:p>
    <w:p w:rsidR="00892ECD" w:rsidRPr="00462B4E" w:rsidRDefault="00462B4E" w:rsidP="00A309B6">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‎‎Article 5. Approve on authorizing the Board of Directors to decide on selecting the audit company for the semi-annual Financial Statements, annual Financial Statements and consolidated Financial Statements of the Company in 2024 and disclose information as prescribed.</w:t>
      </w:r>
    </w:p>
    <w:p w:rsidR="00892ECD" w:rsidRPr="00462B4E" w:rsidRDefault="00462B4E" w:rsidP="00A309B6">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‎‎Article 6. Approve the total remuneration paid to members of the Board of Directors, Secretariat of the Board of Directors and Supervisory Board of the Company in 2023 as: VND 279,600,000; In which:</w:t>
      </w:r>
    </w:p>
    <w:p w:rsidR="00892ECD" w:rsidRPr="00462B4E" w:rsidRDefault="00462B4E" w:rsidP="00A309B6">
      <w:pPr>
        <w:numPr>
          <w:ilvl w:val="0"/>
          <w:numId w:val="3"/>
        </w:numPr>
        <w:pBdr>
          <w:top w:val="nil"/>
          <w:left w:val="nil"/>
          <w:bottom w:val="nil"/>
          <w:right w:val="nil"/>
          <w:between w:val="nil"/>
        </w:pBdr>
        <w:tabs>
          <w:tab w:val="left" w:pos="450"/>
          <w:tab w:val="left" w:pos="893"/>
          <w:tab w:val="right" w:pos="6463"/>
          <w:tab w:val="right" w:pos="6664"/>
        </w:tabs>
        <w:spacing w:after="120" w:line="360" w:lineRule="auto"/>
        <w:jc w:val="both"/>
        <w:rPr>
          <w:rFonts w:ascii="Arial" w:eastAsia="Arial" w:hAnsi="Arial" w:cs="Arial"/>
          <w:sz w:val="20"/>
          <w:szCs w:val="20"/>
        </w:rPr>
      </w:pPr>
      <w:r>
        <w:rPr>
          <w:rFonts w:ascii="Arial" w:hAnsi="Arial"/>
          <w:sz w:val="20"/>
        </w:rPr>
        <w:t>Total remuneration of the Board of Directors:</w:t>
      </w:r>
      <w:r>
        <w:rPr>
          <w:rFonts w:ascii="Arial" w:hAnsi="Arial"/>
          <w:sz w:val="20"/>
        </w:rPr>
        <w:tab/>
        <w:t>VND 225,600,000;</w:t>
      </w:r>
    </w:p>
    <w:p w:rsidR="00892ECD" w:rsidRPr="00462B4E" w:rsidRDefault="00462B4E" w:rsidP="00A309B6">
      <w:pPr>
        <w:numPr>
          <w:ilvl w:val="0"/>
          <w:numId w:val="3"/>
        </w:numPr>
        <w:pBdr>
          <w:top w:val="nil"/>
          <w:left w:val="nil"/>
          <w:bottom w:val="nil"/>
          <w:right w:val="nil"/>
          <w:between w:val="nil"/>
        </w:pBdr>
        <w:tabs>
          <w:tab w:val="left" w:pos="450"/>
          <w:tab w:val="left" w:pos="893"/>
          <w:tab w:val="right" w:pos="6463"/>
          <w:tab w:val="right" w:pos="6664"/>
        </w:tabs>
        <w:spacing w:after="120" w:line="360" w:lineRule="auto"/>
        <w:jc w:val="both"/>
        <w:rPr>
          <w:rFonts w:ascii="Arial" w:eastAsia="Arial" w:hAnsi="Arial" w:cs="Arial"/>
          <w:sz w:val="20"/>
          <w:szCs w:val="20"/>
        </w:rPr>
      </w:pPr>
      <w:r>
        <w:rPr>
          <w:rFonts w:ascii="Arial" w:hAnsi="Arial"/>
          <w:sz w:val="20"/>
        </w:rPr>
        <w:t>Total Secretariat of the Board of Directors remuneration:</w:t>
      </w:r>
      <w:r>
        <w:rPr>
          <w:rFonts w:ascii="Arial" w:hAnsi="Arial"/>
          <w:sz w:val="20"/>
        </w:rPr>
        <w:tab/>
        <w:t>VND 12,000,000;</w:t>
      </w:r>
    </w:p>
    <w:p w:rsidR="00892ECD" w:rsidRPr="00462B4E" w:rsidRDefault="00462B4E" w:rsidP="00A309B6">
      <w:pPr>
        <w:numPr>
          <w:ilvl w:val="0"/>
          <w:numId w:val="3"/>
        </w:numPr>
        <w:pBdr>
          <w:top w:val="nil"/>
          <w:left w:val="nil"/>
          <w:bottom w:val="nil"/>
          <w:right w:val="nil"/>
          <w:between w:val="nil"/>
        </w:pBdr>
        <w:tabs>
          <w:tab w:val="left" w:pos="450"/>
          <w:tab w:val="left" w:pos="893"/>
          <w:tab w:val="right" w:pos="6463"/>
          <w:tab w:val="right" w:pos="6660"/>
        </w:tabs>
        <w:spacing w:after="120" w:line="360" w:lineRule="auto"/>
        <w:jc w:val="both"/>
        <w:rPr>
          <w:rFonts w:ascii="Arial" w:eastAsia="Arial" w:hAnsi="Arial" w:cs="Arial"/>
          <w:sz w:val="20"/>
          <w:szCs w:val="20"/>
        </w:rPr>
      </w:pPr>
      <w:r>
        <w:rPr>
          <w:rFonts w:ascii="Arial" w:hAnsi="Arial"/>
          <w:sz w:val="20"/>
        </w:rPr>
        <w:t>Total Supervisory Board remuneration:</w:t>
      </w:r>
      <w:r>
        <w:rPr>
          <w:rFonts w:ascii="Arial" w:hAnsi="Arial"/>
          <w:sz w:val="20"/>
        </w:rPr>
        <w:tab/>
        <w:t>VND 42,000,000;</w:t>
      </w:r>
    </w:p>
    <w:p w:rsidR="00892ECD" w:rsidRPr="00462B4E" w:rsidRDefault="00462B4E" w:rsidP="00A309B6">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 xml:space="preserve">Approve maintaining the 2023 remuneration levels for members of the Board of Directors and Supervisory Board of Educational Book JSC in Hanoi City in 2024 as follows: </w:t>
      </w:r>
    </w:p>
    <w:p w:rsidR="00892ECD" w:rsidRPr="00462B4E" w:rsidRDefault="00462B4E" w:rsidP="00A309B6">
      <w:pPr>
        <w:numPr>
          <w:ilvl w:val="0"/>
          <w:numId w:val="2"/>
        </w:numPr>
        <w:pBdr>
          <w:top w:val="nil"/>
          <w:left w:val="nil"/>
          <w:bottom w:val="nil"/>
          <w:right w:val="nil"/>
          <w:between w:val="nil"/>
        </w:pBdr>
        <w:tabs>
          <w:tab w:val="left" w:pos="198"/>
          <w:tab w:val="left" w:pos="450"/>
        </w:tabs>
        <w:spacing w:after="120" w:line="360" w:lineRule="auto"/>
        <w:jc w:val="both"/>
        <w:rPr>
          <w:rFonts w:ascii="Arial" w:eastAsia="Arial" w:hAnsi="Arial" w:cs="Arial"/>
          <w:sz w:val="20"/>
          <w:szCs w:val="20"/>
        </w:rPr>
      </w:pPr>
      <w:r>
        <w:rPr>
          <w:rFonts w:ascii="Arial" w:hAnsi="Arial"/>
          <w:sz w:val="20"/>
        </w:rPr>
        <w:t>Remuneration of the Chair of the Board of Directors</w:t>
      </w:r>
      <w:r>
        <w:rPr>
          <w:rFonts w:ascii="Arial" w:hAnsi="Arial"/>
          <w:sz w:val="20"/>
        </w:rPr>
        <w:tab/>
      </w:r>
      <w:r>
        <w:rPr>
          <w:rFonts w:ascii="Arial" w:hAnsi="Arial"/>
          <w:sz w:val="20"/>
        </w:rPr>
        <w:tab/>
      </w:r>
      <w:r>
        <w:rPr>
          <w:rFonts w:ascii="Arial" w:hAnsi="Arial"/>
          <w:sz w:val="20"/>
        </w:rPr>
        <w:tab/>
      </w:r>
      <w:r>
        <w:rPr>
          <w:rFonts w:ascii="Arial" w:hAnsi="Arial"/>
          <w:sz w:val="20"/>
        </w:rPr>
        <w:tab/>
        <w:t xml:space="preserve"> VND 3,500,000 per month.</w:t>
      </w:r>
    </w:p>
    <w:p w:rsidR="00892ECD" w:rsidRPr="00462B4E" w:rsidRDefault="00462B4E" w:rsidP="00A309B6">
      <w:pPr>
        <w:numPr>
          <w:ilvl w:val="0"/>
          <w:numId w:val="2"/>
        </w:numPr>
        <w:pBdr>
          <w:top w:val="nil"/>
          <w:left w:val="nil"/>
          <w:bottom w:val="nil"/>
          <w:right w:val="nil"/>
          <w:between w:val="nil"/>
        </w:pBdr>
        <w:tabs>
          <w:tab w:val="left" w:pos="202"/>
          <w:tab w:val="left" w:pos="450"/>
        </w:tabs>
        <w:spacing w:after="120" w:line="360" w:lineRule="auto"/>
        <w:jc w:val="both"/>
        <w:rPr>
          <w:rFonts w:ascii="Arial" w:eastAsia="Arial" w:hAnsi="Arial" w:cs="Arial"/>
          <w:sz w:val="20"/>
          <w:szCs w:val="20"/>
        </w:rPr>
      </w:pPr>
      <w:r>
        <w:rPr>
          <w:rFonts w:ascii="Arial" w:hAnsi="Arial"/>
          <w:sz w:val="20"/>
        </w:rPr>
        <w:t>Vice Chair of the Board of Directors remuneration:</w:t>
      </w:r>
      <w:r>
        <w:rPr>
          <w:rFonts w:ascii="Arial" w:hAnsi="Arial"/>
          <w:sz w:val="20"/>
        </w:rPr>
        <w:tab/>
      </w:r>
      <w:r>
        <w:rPr>
          <w:rFonts w:ascii="Arial" w:hAnsi="Arial"/>
          <w:sz w:val="20"/>
        </w:rPr>
        <w:tab/>
      </w:r>
      <w:r>
        <w:rPr>
          <w:rFonts w:ascii="Arial" w:hAnsi="Arial"/>
          <w:sz w:val="20"/>
        </w:rPr>
        <w:tab/>
        <w:t xml:space="preserve"> VND 2,800,000 per month.</w:t>
      </w:r>
    </w:p>
    <w:p w:rsidR="00892ECD" w:rsidRPr="00462B4E" w:rsidRDefault="00462B4E" w:rsidP="00A309B6">
      <w:pPr>
        <w:numPr>
          <w:ilvl w:val="0"/>
          <w:numId w:val="2"/>
        </w:numPr>
        <w:pBdr>
          <w:top w:val="nil"/>
          <w:left w:val="nil"/>
          <w:bottom w:val="nil"/>
          <w:right w:val="nil"/>
          <w:between w:val="nil"/>
        </w:pBdr>
        <w:tabs>
          <w:tab w:val="left" w:pos="198"/>
          <w:tab w:val="left" w:pos="450"/>
        </w:tabs>
        <w:spacing w:after="120" w:line="360" w:lineRule="auto"/>
        <w:jc w:val="both"/>
        <w:rPr>
          <w:rFonts w:ascii="Arial" w:eastAsia="Arial" w:hAnsi="Arial" w:cs="Arial"/>
          <w:sz w:val="20"/>
          <w:szCs w:val="20"/>
        </w:rPr>
      </w:pPr>
      <w:r>
        <w:rPr>
          <w:rFonts w:ascii="Arial" w:hAnsi="Arial"/>
          <w:sz w:val="20"/>
        </w:rPr>
        <w:t>Remuneration for members of the Board of Directors:</w:t>
      </w:r>
      <w:r>
        <w:rPr>
          <w:rFonts w:ascii="Arial" w:hAnsi="Arial"/>
          <w:sz w:val="20"/>
        </w:rPr>
        <w:tab/>
      </w:r>
      <w:r>
        <w:rPr>
          <w:rFonts w:ascii="Arial" w:hAnsi="Arial"/>
          <w:sz w:val="20"/>
        </w:rPr>
        <w:tab/>
      </w:r>
      <w:r>
        <w:rPr>
          <w:rFonts w:ascii="Arial" w:hAnsi="Arial"/>
          <w:sz w:val="20"/>
        </w:rPr>
        <w:tab/>
        <w:t xml:space="preserve"> VND 2,500,000/person/month;</w:t>
      </w:r>
    </w:p>
    <w:p w:rsidR="00892ECD" w:rsidRPr="00462B4E" w:rsidRDefault="00462B4E" w:rsidP="00A309B6">
      <w:pPr>
        <w:numPr>
          <w:ilvl w:val="0"/>
          <w:numId w:val="2"/>
        </w:numPr>
        <w:pBdr>
          <w:top w:val="nil"/>
          <w:left w:val="nil"/>
          <w:bottom w:val="nil"/>
          <w:right w:val="nil"/>
          <w:between w:val="nil"/>
        </w:pBdr>
        <w:tabs>
          <w:tab w:val="left" w:pos="202"/>
          <w:tab w:val="left" w:pos="450"/>
        </w:tabs>
        <w:spacing w:after="120" w:line="360" w:lineRule="auto"/>
        <w:jc w:val="both"/>
        <w:rPr>
          <w:rFonts w:ascii="Arial" w:eastAsia="Arial" w:hAnsi="Arial" w:cs="Arial"/>
          <w:sz w:val="20"/>
          <w:szCs w:val="20"/>
        </w:rPr>
      </w:pPr>
      <w:r>
        <w:rPr>
          <w:rFonts w:ascii="Arial" w:hAnsi="Arial"/>
          <w:sz w:val="20"/>
        </w:rPr>
        <w:t>Secretariat of the Board</w:t>
      </w:r>
      <w:r w:rsidR="00A309B6">
        <w:rPr>
          <w:rFonts w:ascii="Arial" w:hAnsi="Arial"/>
          <w:sz w:val="20"/>
        </w:rPr>
        <w:t xml:space="preserve"> of Directors remuneration:</w:t>
      </w:r>
      <w:r w:rsidR="00A309B6">
        <w:rPr>
          <w:rFonts w:ascii="Arial" w:hAnsi="Arial"/>
          <w:sz w:val="20"/>
        </w:rPr>
        <w:tab/>
      </w:r>
      <w:r w:rsidR="00A309B6">
        <w:rPr>
          <w:rFonts w:ascii="Arial" w:hAnsi="Arial"/>
          <w:sz w:val="20"/>
        </w:rPr>
        <w:tab/>
        <w:t xml:space="preserve">          </w:t>
      </w:r>
      <w:r>
        <w:rPr>
          <w:rFonts w:ascii="Arial" w:hAnsi="Arial"/>
          <w:sz w:val="20"/>
        </w:rPr>
        <w:t>VND 1,000,000/person/month;</w:t>
      </w:r>
    </w:p>
    <w:p w:rsidR="00892ECD" w:rsidRPr="00462B4E" w:rsidRDefault="00462B4E" w:rsidP="00A309B6">
      <w:pPr>
        <w:numPr>
          <w:ilvl w:val="0"/>
          <w:numId w:val="2"/>
        </w:numPr>
        <w:pBdr>
          <w:top w:val="nil"/>
          <w:left w:val="nil"/>
          <w:bottom w:val="nil"/>
          <w:right w:val="nil"/>
          <w:between w:val="nil"/>
        </w:pBdr>
        <w:tabs>
          <w:tab w:val="left" w:pos="202"/>
          <w:tab w:val="left" w:pos="450"/>
        </w:tabs>
        <w:spacing w:after="120" w:line="360" w:lineRule="auto"/>
        <w:jc w:val="both"/>
        <w:rPr>
          <w:rFonts w:ascii="Arial" w:eastAsia="Arial" w:hAnsi="Arial" w:cs="Arial"/>
          <w:sz w:val="20"/>
          <w:szCs w:val="20"/>
        </w:rPr>
      </w:pPr>
      <w:r>
        <w:rPr>
          <w:rFonts w:ascii="Arial" w:hAnsi="Arial"/>
          <w:sz w:val="20"/>
        </w:rPr>
        <w:t>Chief of Supervisory Board remuneration:</w:t>
      </w:r>
      <w:r>
        <w:rPr>
          <w:rFonts w:ascii="Arial" w:hAnsi="Arial"/>
          <w:sz w:val="20"/>
        </w:rPr>
        <w:tab/>
      </w:r>
      <w:r>
        <w:rPr>
          <w:rFonts w:ascii="Arial" w:hAnsi="Arial"/>
          <w:sz w:val="20"/>
        </w:rPr>
        <w:tab/>
      </w:r>
      <w:r>
        <w:rPr>
          <w:rFonts w:ascii="Arial" w:hAnsi="Arial"/>
          <w:sz w:val="20"/>
        </w:rPr>
        <w:tab/>
      </w:r>
      <w:r>
        <w:rPr>
          <w:rFonts w:ascii="Arial" w:hAnsi="Arial"/>
          <w:sz w:val="20"/>
        </w:rPr>
        <w:tab/>
        <w:t xml:space="preserve"> VND 1,500,000 per month.</w:t>
      </w:r>
    </w:p>
    <w:p w:rsidR="00892ECD" w:rsidRPr="00462B4E" w:rsidRDefault="00462B4E" w:rsidP="00A309B6">
      <w:pPr>
        <w:numPr>
          <w:ilvl w:val="0"/>
          <w:numId w:val="2"/>
        </w:numPr>
        <w:pBdr>
          <w:top w:val="nil"/>
          <w:left w:val="nil"/>
          <w:bottom w:val="nil"/>
          <w:right w:val="nil"/>
          <w:between w:val="nil"/>
        </w:pBdr>
        <w:tabs>
          <w:tab w:val="left" w:pos="202"/>
          <w:tab w:val="left" w:pos="450"/>
        </w:tabs>
        <w:spacing w:after="120" w:line="360" w:lineRule="auto"/>
        <w:jc w:val="both"/>
        <w:rPr>
          <w:rFonts w:ascii="Arial" w:eastAsia="Arial" w:hAnsi="Arial" w:cs="Arial"/>
          <w:sz w:val="20"/>
          <w:szCs w:val="20"/>
        </w:rPr>
      </w:pPr>
      <w:r>
        <w:rPr>
          <w:rFonts w:ascii="Arial" w:hAnsi="Arial"/>
          <w:sz w:val="20"/>
        </w:rPr>
        <w:t>Member of Sup</w:t>
      </w:r>
      <w:r w:rsidR="00A309B6">
        <w:rPr>
          <w:rFonts w:ascii="Arial" w:hAnsi="Arial"/>
          <w:sz w:val="20"/>
        </w:rPr>
        <w:t>ervisory Board remuneration:</w:t>
      </w:r>
      <w:r w:rsidR="00A309B6">
        <w:rPr>
          <w:rFonts w:ascii="Arial" w:hAnsi="Arial"/>
          <w:sz w:val="20"/>
        </w:rPr>
        <w:tab/>
      </w:r>
      <w:r w:rsidR="00A309B6">
        <w:rPr>
          <w:rFonts w:ascii="Arial" w:hAnsi="Arial"/>
          <w:sz w:val="20"/>
        </w:rPr>
        <w:tab/>
      </w:r>
      <w:r w:rsidR="00A309B6">
        <w:rPr>
          <w:rFonts w:ascii="Arial" w:hAnsi="Arial"/>
          <w:sz w:val="20"/>
        </w:rPr>
        <w:tab/>
        <w:t xml:space="preserve">       </w:t>
      </w:r>
      <w:bookmarkStart w:id="0" w:name="_GoBack"/>
      <w:bookmarkEnd w:id="0"/>
      <w:r>
        <w:rPr>
          <w:rFonts w:ascii="Arial" w:hAnsi="Arial"/>
          <w:sz w:val="20"/>
        </w:rPr>
        <w:t xml:space="preserve"> VND 1,000,000/person/month;</w:t>
      </w:r>
    </w:p>
    <w:p w:rsidR="00892ECD" w:rsidRPr="00462B4E" w:rsidRDefault="00462B4E" w:rsidP="00A309B6">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Remuneration paid to members of the Board of Directors and the Supervisory Board at the end of each month. If the plan is exceeded, the Board of Directors shall decide the supplementary remuneration rate for the Board of Directors and Supervisory Board but not exceeding 20% of the additional profit.</w:t>
      </w:r>
    </w:p>
    <w:p w:rsidR="00892ECD" w:rsidRPr="00462B4E" w:rsidRDefault="00462B4E" w:rsidP="00A309B6">
      <w:pPr>
        <w:pBdr>
          <w:top w:val="nil"/>
          <w:left w:val="nil"/>
          <w:bottom w:val="nil"/>
          <w:right w:val="nil"/>
          <w:between w:val="nil"/>
        </w:pBdr>
        <w:tabs>
          <w:tab w:val="left" w:pos="450"/>
        </w:tabs>
        <w:spacing w:after="120" w:line="360" w:lineRule="auto"/>
        <w:jc w:val="both"/>
        <w:rPr>
          <w:rFonts w:ascii="Arial" w:eastAsia="Arial" w:hAnsi="Arial" w:cs="Arial"/>
          <w:sz w:val="20"/>
          <w:szCs w:val="20"/>
        </w:rPr>
      </w:pPr>
      <w:r>
        <w:rPr>
          <w:rFonts w:ascii="Arial" w:hAnsi="Arial"/>
          <w:sz w:val="20"/>
        </w:rPr>
        <w:t>‎‎Article 7. Approve the Company lending an amount greater than 35% of the Company's total asset value recorded in the latest Financial Statements.</w:t>
      </w:r>
    </w:p>
    <w:p w:rsidR="00892ECD" w:rsidRPr="00462B4E" w:rsidRDefault="00462B4E" w:rsidP="00462B4E">
      <w:p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‎‎Article 8. Approve the election results, the following gentlemen and ladies have been elected as members of the Board of Directors and Supervisory Board for the 2024-2029 term:</w:t>
      </w:r>
    </w:p>
    <w:p w:rsidR="00892ECD" w:rsidRPr="00462B4E" w:rsidRDefault="00462B4E" w:rsidP="00462B4E">
      <w:pPr>
        <w:numPr>
          <w:ilvl w:val="0"/>
          <w:numId w:val="2"/>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List of members of the Board of Directors</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7047"/>
      </w:tblGrid>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lastRenderedPageBreak/>
              <w:t>No.</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Full name of candidate</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1</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Ngo Trong Vinh</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2</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Bui Thi Thu Lan</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3</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Nguyen Thanh Tung</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4</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Ngo Anh Phuong</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5</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Lam Quynh Huong</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6</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Ngo Thi Thanh Huyen</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7</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Ngo Phuong Anh</w:t>
            </w:r>
          </w:p>
        </w:tc>
      </w:tr>
    </w:tbl>
    <w:p w:rsidR="00892ECD" w:rsidRPr="00462B4E" w:rsidRDefault="00462B4E" w:rsidP="00462B4E">
      <w:pPr>
        <w:numPr>
          <w:ilvl w:val="0"/>
          <w:numId w:val="2"/>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List of members of the Supervisory Board:</w:t>
      </w: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7047"/>
      </w:tblGrid>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No.</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Full name of candidate</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1</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Mr. Nguyen Trong Ha</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2</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Tran Van Que</w:t>
            </w:r>
          </w:p>
        </w:tc>
      </w:tr>
      <w:tr w:rsidR="00462B4E" w:rsidRPr="00462B4E" w:rsidTr="00462B4E">
        <w:tc>
          <w:tcPr>
            <w:tcW w:w="1092"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3</w:t>
            </w:r>
          </w:p>
        </w:tc>
        <w:tc>
          <w:tcPr>
            <w:tcW w:w="3908" w:type="pct"/>
            <w:shd w:val="clear" w:color="auto" w:fill="auto"/>
            <w:tcMar>
              <w:top w:w="0" w:type="dxa"/>
              <w:bottom w:w="0" w:type="dxa"/>
            </w:tcMar>
            <w:vAlign w:val="center"/>
          </w:tcPr>
          <w:p w:rsidR="00462B4E"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Nguyen Thi Mai Lam</w:t>
            </w:r>
          </w:p>
        </w:tc>
      </w:tr>
    </w:tbl>
    <w:p w:rsidR="00892ECD" w:rsidRPr="00462B4E" w:rsidRDefault="00462B4E" w:rsidP="00462B4E">
      <w:p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‎‎Article 9. Approve the list of members of the Board of Directors and Supervisory Board for the 2024-2029 term as follows:</w:t>
      </w:r>
    </w:p>
    <w:p w:rsidR="00892ECD" w:rsidRPr="00462B4E" w:rsidRDefault="00462B4E" w:rsidP="00462B4E">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sz w:val="20"/>
          <w:szCs w:val="20"/>
        </w:rPr>
      </w:pPr>
      <w:r>
        <w:rPr>
          <w:rFonts w:ascii="Arial" w:hAnsi="Arial"/>
          <w:sz w:val="20"/>
        </w:rPr>
        <w:t>List of members of the Board of Directors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0"/>
        <w:gridCol w:w="4103"/>
        <w:gridCol w:w="4043"/>
      </w:tblGrid>
      <w:tr w:rsidR="00892ECD" w:rsidRPr="00462B4E" w:rsidTr="00462B4E">
        <w:tc>
          <w:tcPr>
            <w:tcW w:w="482"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No.</w:t>
            </w:r>
          </w:p>
        </w:tc>
        <w:tc>
          <w:tcPr>
            <w:tcW w:w="227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Full name</w:t>
            </w:r>
          </w:p>
        </w:tc>
        <w:tc>
          <w:tcPr>
            <w:tcW w:w="2242"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Note</w:t>
            </w:r>
          </w:p>
        </w:tc>
      </w:tr>
      <w:tr w:rsidR="00892ECD" w:rsidRPr="00462B4E" w:rsidTr="00462B4E">
        <w:tc>
          <w:tcPr>
            <w:tcW w:w="482"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1</w:t>
            </w:r>
          </w:p>
        </w:tc>
        <w:tc>
          <w:tcPr>
            <w:tcW w:w="227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Ngo Phuong Anh</w:t>
            </w:r>
          </w:p>
        </w:tc>
        <w:tc>
          <w:tcPr>
            <w:tcW w:w="2242"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r w:rsidR="00892ECD" w:rsidRPr="00462B4E" w:rsidTr="00462B4E">
        <w:tc>
          <w:tcPr>
            <w:tcW w:w="482"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2</w:t>
            </w:r>
          </w:p>
        </w:tc>
        <w:tc>
          <w:tcPr>
            <w:tcW w:w="227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Ngo Thi Thanh Huyen</w:t>
            </w:r>
          </w:p>
        </w:tc>
        <w:tc>
          <w:tcPr>
            <w:tcW w:w="2242"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r w:rsidR="00892ECD" w:rsidRPr="00462B4E" w:rsidTr="00462B4E">
        <w:tc>
          <w:tcPr>
            <w:tcW w:w="482"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3</w:t>
            </w:r>
          </w:p>
        </w:tc>
        <w:tc>
          <w:tcPr>
            <w:tcW w:w="227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Lam Quynh Huong</w:t>
            </w:r>
          </w:p>
        </w:tc>
        <w:tc>
          <w:tcPr>
            <w:tcW w:w="2242"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r w:rsidR="00892ECD" w:rsidRPr="00462B4E" w:rsidTr="00462B4E">
        <w:tc>
          <w:tcPr>
            <w:tcW w:w="482"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4</w:t>
            </w:r>
          </w:p>
        </w:tc>
        <w:tc>
          <w:tcPr>
            <w:tcW w:w="227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Bui Thi Thu Lan</w:t>
            </w:r>
          </w:p>
        </w:tc>
        <w:tc>
          <w:tcPr>
            <w:tcW w:w="2242"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r w:rsidR="00892ECD" w:rsidRPr="00462B4E" w:rsidTr="00462B4E">
        <w:tc>
          <w:tcPr>
            <w:tcW w:w="482"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5</w:t>
            </w:r>
          </w:p>
        </w:tc>
        <w:tc>
          <w:tcPr>
            <w:tcW w:w="227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Mr. Ngo Anh Phuong</w:t>
            </w:r>
          </w:p>
        </w:tc>
        <w:tc>
          <w:tcPr>
            <w:tcW w:w="2242"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r w:rsidR="00892ECD" w:rsidRPr="00462B4E" w:rsidTr="00462B4E">
        <w:tc>
          <w:tcPr>
            <w:tcW w:w="482"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6</w:t>
            </w:r>
          </w:p>
        </w:tc>
        <w:tc>
          <w:tcPr>
            <w:tcW w:w="227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Nguyen Thanh Tung</w:t>
            </w:r>
          </w:p>
        </w:tc>
        <w:tc>
          <w:tcPr>
            <w:tcW w:w="2242"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r w:rsidR="00892ECD" w:rsidRPr="00462B4E" w:rsidTr="00462B4E">
        <w:tc>
          <w:tcPr>
            <w:tcW w:w="482"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7</w:t>
            </w:r>
          </w:p>
        </w:tc>
        <w:tc>
          <w:tcPr>
            <w:tcW w:w="2275"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Ngo Trong Vinh</w:t>
            </w:r>
          </w:p>
        </w:tc>
        <w:tc>
          <w:tcPr>
            <w:tcW w:w="2242"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bl>
    <w:p w:rsidR="00892ECD" w:rsidRPr="00462B4E" w:rsidRDefault="00462B4E" w:rsidP="00462B4E">
      <w:pPr>
        <w:numPr>
          <w:ilvl w:val="0"/>
          <w:numId w:val="4"/>
        </w:numPr>
        <w:pBdr>
          <w:top w:val="nil"/>
          <w:left w:val="nil"/>
          <w:bottom w:val="nil"/>
          <w:right w:val="nil"/>
          <w:between w:val="nil"/>
        </w:pBdr>
        <w:tabs>
          <w:tab w:val="left" w:pos="450"/>
        </w:tabs>
        <w:spacing w:after="120" w:line="360" w:lineRule="auto"/>
        <w:ind w:left="0" w:firstLine="0"/>
        <w:rPr>
          <w:rFonts w:ascii="Arial" w:eastAsia="Arial" w:hAnsi="Arial" w:cs="Arial"/>
          <w:sz w:val="20"/>
          <w:szCs w:val="20"/>
        </w:rPr>
      </w:pPr>
      <w:r>
        <w:rPr>
          <w:rFonts w:ascii="Arial" w:hAnsi="Arial"/>
          <w:sz w:val="20"/>
        </w:rPr>
        <w:t xml:space="preserve"> List of members of the Supervisory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4"/>
        <w:gridCol w:w="4070"/>
        <w:gridCol w:w="4072"/>
      </w:tblGrid>
      <w:tr w:rsidR="00892ECD" w:rsidRPr="00462B4E" w:rsidTr="00462B4E">
        <w:tc>
          <w:tcPr>
            <w:tcW w:w="48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No.</w:t>
            </w:r>
          </w:p>
        </w:tc>
        <w:tc>
          <w:tcPr>
            <w:tcW w:w="2257"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Full name</w:t>
            </w:r>
          </w:p>
        </w:tc>
        <w:tc>
          <w:tcPr>
            <w:tcW w:w="2258"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Note</w:t>
            </w:r>
          </w:p>
        </w:tc>
      </w:tr>
      <w:tr w:rsidR="00892ECD" w:rsidRPr="00462B4E" w:rsidTr="00462B4E">
        <w:tc>
          <w:tcPr>
            <w:tcW w:w="48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1</w:t>
            </w:r>
          </w:p>
        </w:tc>
        <w:tc>
          <w:tcPr>
            <w:tcW w:w="2257"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Mr. Nguyen Trong Ha</w:t>
            </w:r>
          </w:p>
        </w:tc>
        <w:tc>
          <w:tcPr>
            <w:tcW w:w="2258"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r w:rsidR="00892ECD" w:rsidRPr="00462B4E" w:rsidTr="00462B4E">
        <w:tc>
          <w:tcPr>
            <w:tcW w:w="48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2</w:t>
            </w:r>
          </w:p>
        </w:tc>
        <w:tc>
          <w:tcPr>
            <w:tcW w:w="2257"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Nguyen Thi Mai Lam</w:t>
            </w:r>
          </w:p>
        </w:tc>
        <w:tc>
          <w:tcPr>
            <w:tcW w:w="2258"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r w:rsidR="00892ECD" w:rsidRPr="00462B4E" w:rsidTr="00462B4E">
        <w:tc>
          <w:tcPr>
            <w:tcW w:w="484"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3</w:t>
            </w:r>
          </w:p>
        </w:tc>
        <w:tc>
          <w:tcPr>
            <w:tcW w:w="2257" w:type="pct"/>
            <w:shd w:val="clear" w:color="auto" w:fill="auto"/>
            <w:tcMar>
              <w:top w:w="0" w:type="dxa"/>
              <w:bottom w:w="0" w:type="dxa"/>
            </w:tcMar>
            <w:vAlign w:val="center"/>
          </w:tcPr>
          <w:p w:rsidR="00892ECD" w:rsidRPr="00462B4E" w:rsidRDefault="00462B4E" w:rsidP="00462B4E">
            <w:pPr>
              <w:pBdr>
                <w:top w:val="nil"/>
                <w:left w:val="nil"/>
                <w:bottom w:val="nil"/>
                <w:right w:val="nil"/>
                <w:between w:val="nil"/>
              </w:pBdr>
              <w:tabs>
                <w:tab w:val="left" w:pos="450"/>
              </w:tabs>
              <w:spacing w:after="120" w:line="360" w:lineRule="auto"/>
              <w:jc w:val="center"/>
              <w:rPr>
                <w:rFonts w:ascii="Arial" w:eastAsia="Arial" w:hAnsi="Arial" w:cs="Arial"/>
                <w:sz w:val="20"/>
                <w:szCs w:val="20"/>
              </w:rPr>
            </w:pPr>
            <w:r>
              <w:rPr>
                <w:rFonts w:ascii="Arial" w:hAnsi="Arial"/>
                <w:sz w:val="20"/>
              </w:rPr>
              <w:t>Tran Van Que</w:t>
            </w:r>
          </w:p>
        </w:tc>
        <w:tc>
          <w:tcPr>
            <w:tcW w:w="2258" w:type="pct"/>
            <w:shd w:val="clear" w:color="auto" w:fill="auto"/>
            <w:tcMar>
              <w:top w:w="0" w:type="dxa"/>
              <w:bottom w:w="0" w:type="dxa"/>
            </w:tcMar>
            <w:vAlign w:val="center"/>
          </w:tcPr>
          <w:p w:rsidR="00892ECD" w:rsidRPr="00462B4E" w:rsidRDefault="00892ECD" w:rsidP="00462B4E">
            <w:pPr>
              <w:tabs>
                <w:tab w:val="left" w:pos="450"/>
              </w:tabs>
              <w:spacing w:after="120" w:line="360" w:lineRule="auto"/>
              <w:jc w:val="center"/>
              <w:rPr>
                <w:rFonts w:ascii="Arial" w:eastAsia="Arial" w:hAnsi="Arial" w:cs="Arial"/>
                <w:sz w:val="20"/>
                <w:szCs w:val="20"/>
              </w:rPr>
            </w:pPr>
          </w:p>
        </w:tc>
      </w:tr>
    </w:tbl>
    <w:p w:rsidR="00892ECD" w:rsidRPr="00462B4E" w:rsidRDefault="00462B4E" w:rsidP="00462B4E">
      <w:p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‎‎Article 10. Terms of enforcement</w:t>
      </w:r>
    </w:p>
    <w:p w:rsidR="00892ECD" w:rsidRPr="00462B4E" w:rsidRDefault="00462B4E" w:rsidP="00462B4E">
      <w:p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lastRenderedPageBreak/>
        <w:t>This General Mandate was approved by the General Meeting of Shareholders and takes effect from April 24, 2024.</w:t>
      </w:r>
    </w:p>
    <w:p w:rsidR="00892ECD" w:rsidRPr="00462B4E" w:rsidRDefault="00462B4E" w:rsidP="00462B4E">
      <w:p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 xml:space="preserve">The Board of Directors of Educational Book JSC in Hanoi City is responsible for carrying out the work authorized by the General Meeting of Shareholders in this General Mandate, ensuring the interests of shareholders, enterprises and in accordance with the provisions of the Law. </w:t>
      </w:r>
    </w:p>
    <w:sectPr w:rsidR="00892ECD" w:rsidRPr="00462B4E" w:rsidSect="00462B4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7F7"/>
    <w:multiLevelType w:val="multilevel"/>
    <w:tmpl w:val="F752894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AB73306"/>
    <w:multiLevelType w:val="multilevel"/>
    <w:tmpl w:val="F16A311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372F08"/>
    <w:multiLevelType w:val="multilevel"/>
    <w:tmpl w:val="1376E3DC"/>
    <w:lvl w:ilvl="0">
      <w:start w:val="1"/>
      <w:numFmt w:val="bullet"/>
      <w:lvlText w:val="-"/>
      <w:lvlJc w:val="left"/>
      <w:pPr>
        <w:ind w:left="0" w:firstLine="0"/>
      </w:pPr>
      <w:rPr>
        <w:rFonts w:ascii="Arial" w:eastAsia="Times New Roman"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0E71B6B"/>
    <w:multiLevelType w:val="multilevel"/>
    <w:tmpl w:val="5BBA877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CD"/>
    <w:rsid w:val="000E3E3F"/>
    <w:rsid w:val="00462B4E"/>
    <w:rsid w:val="00892ECD"/>
    <w:rsid w:val="00A3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5398"/>
  <w15:docId w15:val="{000C1481-AB7E-4B44-B27E-BD7B3033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EC716E"/>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C716E"/>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93" w:lineRule="auto"/>
    </w:pPr>
    <w:rPr>
      <w:rFonts w:ascii="Times New Roman" w:eastAsia="Times New Roman" w:hAnsi="Times New Roman" w:cs="Times New Roman"/>
    </w:rPr>
  </w:style>
  <w:style w:type="paragraph" w:customStyle="1" w:styleId="Bodytext40">
    <w:name w:val="Body text (4)"/>
    <w:basedOn w:val="Normal"/>
    <w:link w:val="Bodytext4"/>
    <w:pPr>
      <w:spacing w:line="257" w:lineRule="auto"/>
    </w:pPr>
    <w:rPr>
      <w:rFonts w:ascii="Arial" w:eastAsia="Arial" w:hAnsi="Arial" w:cs="Arial"/>
      <w:b/>
      <w:bCs/>
      <w:color w:val="EC716E"/>
      <w:sz w:val="20"/>
      <w:szCs w:val="20"/>
    </w:rPr>
  </w:style>
  <w:style w:type="paragraph" w:customStyle="1" w:styleId="Bodytext50">
    <w:name w:val="Body text (5)"/>
    <w:basedOn w:val="Normal"/>
    <w:link w:val="Bodytext5"/>
    <w:pPr>
      <w:spacing w:line="209" w:lineRule="auto"/>
      <w:jc w:val="right"/>
    </w:pPr>
    <w:rPr>
      <w:rFonts w:ascii="Arial" w:eastAsia="Arial" w:hAnsi="Arial" w:cs="Arial"/>
      <w:color w:val="EC716E"/>
    </w:rPr>
  </w:style>
  <w:style w:type="paragraph" w:customStyle="1" w:styleId="Bodytext20">
    <w:name w:val="Body text (2)"/>
    <w:basedOn w:val="Normal"/>
    <w:link w:val="Bodytext2"/>
    <w:pPr>
      <w:spacing w:line="286" w:lineRule="auto"/>
      <w:ind w:left="300" w:hanging="150"/>
    </w:pPr>
    <w:rPr>
      <w:rFonts w:ascii="Times New Roman" w:eastAsia="Times New Roman" w:hAnsi="Times New Roman" w:cs="Times New Roman"/>
      <w:b/>
      <w:bCs/>
      <w:sz w:val="28"/>
      <w:szCs w:val="28"/>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n2gOzIyMP/gcbDXZSUHRcG8w+w==">CgMxLjA4AHIhMVBCRV9Tc3BWRzhrQzJFYmJPSXNEUWZvbHZhbFktdm1I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2024-04-27T04:27:00Z</dcterms:created>
  <dcterms:modified xsi:type="dcterms:W3CDTF">2024-05-03T03:28:00Z</dcterms:modified>
</cp:coreProperties>
</file>